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1D" w:rsidRPr="00834D89" w:rsidRDefault="00A52A1D" w:rsidP="00A52A1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A52A1D" w:rsidRPr="005D0D1C" w:rsidRDefault="00A52A1D" w:rsidP="00A52A1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52A1D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2909904</wp:posOffset>
            </wp:positionH>
            <wp:positionV relativeFrom="paragraph">
              <wp:posOffset>924593</wp:posOffset>
            </wp:positionV>
            <wp:extent cx="398045" cy="497306"/>
            <wp:effectExtent l="19050" t="0" r="0" b="0"/>
            <wp:wrapTight wrapText="bothSides">
              <wp:wrapPolygon edited="0">
                <wp:start x="-1029" y="0"/>
                <wp:lineTo x="-1029" y="19108"/>
                <wp:lineTo x="1029" y="20769"/>
                <wp:lineTo x="8229" y="20769"/>
                <wp:lineTo x="13371" y="20769"/>
                <wp:lineTo x="19543" y="20769"/>
                <wp:lineTo x="21600" y="19108"/>
                <wp:lineTo x="21600" y="0"/>
                <wp:lineTo x="-1029" y="0"/>
              </wp:wrapPolygon>
            </wp:wrapTight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A1D" w:rsidRDefault="00A52A1D" w:rsidP="00A52A1D">
      <w:pPr>
        <w:jc w:val="center"/>
        <w:rPr>
          <w:rFonts w:ascii="PT Astra Serif" w:hAnsi="PT Astra Serif" w:cs="Times New Roman"/>
          <w:b/>
          <w:color w:val="000000" w:themeColor="text1"/>
          <w:sz w:val="40"/>
          <w:szCs w:val="40"/>
        </w:rPr>
      </w:pPr>
    </w:p>
    <w:p w:rsidR="00A52A1D" w:rsidRDefault="00A52A1D" w:rsidP="00A52A1D">
      <w:pPr>
        <w:jc w:val="center"/>
        <w:rPr>
          <w:rFonts w:ascii="PT Astra Serif" w:hAnsi="PT Astra Serif" w:cs="Times New Roman"/>
          <w:b/>
          <w:color w:val="000000" w:themeColor="text1"/>
          <w:sz w:val="40"/>
          <w:szCs w:val="40"/>
        </w:rPr>
      </w:pPr>
    </w:p>
    <w:p w:rsidR="00A52A1D" w:rsidRDefault="00A52A1D" w:rsidP="00A52A1D">
      <w:pPr>
        <w:jc w:val="center"/>
        <w:rPr>
          <w:rFonts w:ascii="PT Astra Serif" w:hAnsi="PT Astra Serif" w:cs="Times New Roman"/>
          <w:b/>
          <w:color w:val="000000" w:themeColor="text1"/>
          <w:sz w:val="40"/>
          <w:szCs w:val="40"/>
        </w:rPr>
      </w:pPr>
    </w:p>
    <w:p w:rsidR="00A52A1D" w:rsidRPr="005D0D1C" w:rsidRDefault="00A52A1D" w:rsidP="00A52A1D">
      <w:pPr>
        <w:jc w:val="center"/>
        <w:rPr>
          <w:rFonts w:ascii="PT Astra Serif" w:hAnsi="PT Astra Serif"/>
          <w:color w:val="000000" w:themeColor="text1"/>
        </w:rPr>
      </w:pPr>
      <w:r w:rsidRPr="005D0D1C">
        <w:rPr>
          <w:rFonts w:ascii="PT Astra Serif" w:hAnsi="PT Astra Serif" w:cs="Times New Roman"/>
          <w:b/>
          <w:color w:val="000000" w:themeColor="text1"/>
          <w:sz w:val="40"/>
          <w:szCs w:val="40"/>
        </w:rPr>
        <w:t>ДОКЛАД</w:t>
      </w:r>
    </w:p>
    <w:p w:rsidR="00A52A1D" w:rsidRPr="005D0D1C" w:rsidRDefault="009E3B69" w:rsidP="00A52A1D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Главы администрации муниципального</w:t>
      </w:r>
      <w:r w:rsidR="00A52A1D"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образования</w:t>
      </w:r>
    </w:p>
    <w:p w:rsidR="00A52A1D" w:rsidRPr="005D0D1C" w:rsidRDefault="009E3B69" w:rsidP="00A52A1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район» о достигнутых </w:t>
      </w:r>
      <w:r w:rsidR="00A52A1D"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значениях показателей </w:t>
      </w:r>
    </w:p>
    <w:p w:rsidR="00A52A1D" w:rsidRPr="005D0D1C" w:rsidRDefault="009E3B69" w:rsidP="00A52A1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оценки </w:t>
      </w:r>
      <w:r w:rsidR="00A52A1D"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эффект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ивности  деятельности органов </w:t>
      </w:r>
      <w:r w:rsidR="00A52A1D"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местного </w:t>
      </w:r>
    </w:p>
    <w:p w:rsidR="00A52A1D" w:rsidRPr="005D0D1C" w:rsidRDefault="00A52A1D" w:rsidP="00A52A1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самоуправления муниципального образования «</w:t>
      </w:r>
      <w:proofErr w:type="spellStart"/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Вешкаймский</w:t>
      </w:r>
      <w:proofErr w:type="spellEnd"/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район» </w:t>
      </w:r>
    </w:p>
    <w:p w:rsidR="00A52A1D" w:rsidRPr="005D0D1C" w:rsidRDefault="009E3B69" w:rsidP="00A52A1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</w:t>
      </w:r>
      <w:r w:rsidR="00A52A1D"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202</w:t>
      </w:r>
      <w:r w:rsidR="00A52A1D" w:rsidRPr="00FC0DE4">
        <w:rPr>
          <w:rFonts w:ascii="PT Astra Serif" w:hAnsi="PT Astra Serif" w:cs="Times New Roman"/>
          <w:b/>
          <w:color w:val="000000" w:themeColor="text1"/>
          <w:sz w:val="28"/>
          <w:szCs w:val="28"/>
        </w:rPr>
        <w:t>2</w:t>
      </w:r>
      <w:r w:rsidR="00A52A1D"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год и их планируемых </w:t>
      </w:r>
      <w:proofErr w:type="gramStart"/>
      <w:r w:rsidR="00A52A1D"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значениях</w:t>
      </w:r>
      <w:proofErr w:type="gramEnd"/>
    </w:p>
    <w:p w:rsidR="00A52A1D" w:rsidRPr="005D0D1C" w:rsidRDefault="00A52A1D" w:rsidP="00A52A1D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на 202</w:t>
      </w:r>
      <w:r w:rsidRPr="00355F56">
        <w:rPr>
          <w:rFonts w:ascii="PT Astra Serif" w:hAnsi="PT Astra Serif" w:cs="Times New Roman"/>
          <w:b/>
          <w:color w:val="000000" w:themeColor="text1"/>
          <w:sz w:val="28"/>
          <w:szCs w:val="28"/>
        </w:rPr>
        <w:t>3</w:t>
      </w:r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-202</w:t>
      </w:r>
      <w:r w:rsidRPr="00355F56">
        <w:rPr>
          <w:rFonts w:ascii="PT Astra Serif" w:hAnsi="PT Astra Serif" w:cs="Times New Roman"/>
          <w:b/>
          <w:color w:val="000000" w:themeColor="text1"/>
          <w:sz w:val="28"/>
          <w:szCs w:val="28"/>
        </w:rPr>
        <w:t>5</w:t>
      </w:r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годы</w:t>
      </w:r>
    </w:p>
    <w:p w:rsidR="00A52A1D" w:rsidRPr="005D0D1C" w:rsidRDefault="00A52A1D" w:rsidP="00A52A1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jc w:val="center"/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jc w:val="center"/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jc w:val="center"/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A52A1D" w:rsidRPr="005D0D1C" w:rsidRDefault="00A52A1D" w:rsidP="00A52A1D">
      <w:pPr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</w:p>
    <w:p w:rsidR="00A52A1D" w:rsidRPr="005D0D1C" w:rsidRDefault="00A52A1D" w:rsidP="00A52A1D">
      <w:pPr>
        <w:spacing w:after="0"/>
        <w:jc w:val="both"/>
        <w:rPr>
          <w:rFonts w:ascii="PT Astra Serif" w:hAnsi="PT Astra Serif"/>
          <w:color w:val="000000" w:themeColor="text1"/>
        </w:rPr>
      </w:pPr>
      <w:r w:rsidRPr="005D0D1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Глава администрации </w:t>
      </w:r>
      <w:proofErr w:type="gramStart"/>
      <w:r w:rsidRPr="005D0D1C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муниципального</w:t>
      </w:r>
      <w:proofErr w:type="gramEnd"/>
    </w:p>
    <w:p w:rsidR="00A52A1D" w:rsidRPr="005D0D1C" w:rsidRDefault="00A52A1D" w:rsidP="00A52A1D">
      <w:pPr>
        <w:spacing w:after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образования  «</w:t>
      </w:r>
      <w:proofErr w:type="spellStart"/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Вешкаймский</w:t>
      </w:r>
      <w:proofErr w:type="spellEnd"/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район»           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</w:t>
      </w:r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6328A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</w:t>
      </w:r>
      <w:r w:rsidRPr="005D0D1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Т.Н. Стельмах </w:t>
      </w:r>
    </w:p>
    <w:p w:rsidR="00A52A1D" w:rsidRPr="005D0D1C" w:rsidRDefault="00A52A1D" w:rsidP="00A52A1D">
      <w:pPr>
        <w:spacing w:after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05319A" w:rsidRPr="005D0D1C" w:rsidRDefault="0005319A" w:rsidP="00A52A1D">
      <w:pPr>
        <w:spacing w:after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A52A1D" w:rsidRPr="005D0D1C" w:rsidRDefault="00A52A1D" w:rsidP="00A52A1D">
      <w:pPr>
        <w:spacing w:after="0" w:line="240" w:lineRule="auto"/>
        <w:rPr>
          <w:rFonts w:ascii="PT Astra Serif" w:hAnsi="PT Astra Serif"/>
          <w:color w:val="000000" w:themeColor="text1"/>
        </w:rPr>
      </w:pPr>
    </w:p>
    <w:p w:rsidR="00A52A1D" w:rsidRDefault="00A52A1D" w:rsidP="00A52A1D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28"/>
          <w:szCs w:val="32"/>
        </w:rPr>
      </w:pPr>
      <w:r w:rsidRPr="005D0D1C">
        <w:rPr>
          <w:rFonts w:ascii="PT Astra Serif" w:hAnsi="PT Astra Serif" w:cs="Times New Roman"/>
          <w:b/>
          <w:color w:val="000000" w:themeColor="text1"/>
          <w:sz w:val="32"/>
          <w:szCs w:val="32"/>
        </w:rPr>
        <w:t xml:space="preserve"> </w:t>
      </w:r>
      <w:r w:rsidR="0005319A">
        <w:rPr>
          <w:rFonts w:ascii="PT Astra Serif" w:hAnsi="PT Astra Serif" w:cs="Times New Roman"/>
          <w:b/>
          <w:color w:val="000000" w:themeColor="text1"/>
          <w:sz w:val="28"/>
          <w:szCs w:val="32"/>
        </w:rPr>
        <w:t>«26»</w:t>
      </w:r>
      <w:r w:rsidRPr="0005319A">
        <w:rPr>
          <w:rFonts w:ascii="PT Astra Serif" w:hAnsi="PT Astra Serif" w:cs="Times New Roman"/>
          <w:b/>
          <w:color w:val="000000" w:themeColor="text1"/>
          <w:sz w:val="28"/>
          <w:szCs w:val="32"/>
        </w:rPr>
        <w:t xml:space="preserve"> </w:t>
      </w:r>
      <w:r w:rsidR="0005319A">
        <w:rPr>
          <w:rFonts w:ascii="PT Astra Serif" w:hAnsi="PT Astra Serif" w:cs="Times New Roman"/>
          <w:b/>
          <w:color w:val="000000" w:themeColor="text1"/>
          <w:sz w:val="28"/>
          <w:szCs w:val="32"/>
        </w:rPr>
        <w:t xml:space="preserve">апреля </w:t>
      </w:r>
      <w:r w:rsidRPr="0005319A">
        <w:rPr>
          <w:rFonts w:ascii="PT Astra Serif" w:hAnsi="PT Astra Serif" w:cs="Times New Roman"/>
          <w:b/>
          <w:color w:val="000000" w:themeColor="text1"/>
          <w:sz w:val="28"/>
          <w:szCs w:val="32"/>
        </w:rPr>
        <w:t>2023 года</w:t>
      </w:r>
    </w:p>
    <w:p w:rsidR="0005319A" w:rsidRPr="006D2CF4" w:rsidRDefault="0005319A" w:rsidP="00A52A1D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B441D" w:rsidRDefault="00DB441D" w:rsidP="0005319A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441D" w:rsidRDefault="00DB441D" w:rsidP="0005319A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5319A" w:rsidRPr="006D2CF4" w:rsidRDefault="003451D9" w:rsidP="0005319A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Содержание</w:t>
      </w:r>
    </w:p>
    <w:p w:rsidR="00834D89" w:rsidRPr="006D2CF4" w:rsidRDefault="00834D89" w:rsidP="0005319A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5319A" w:rsidRPr="006D2CF4" w:rsidRDefault="00DC482F" w:rsidP="006328A3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ведение</w:t>
      </w:r>
    </w:p>
    <w:p w:rsidR="0005319A" w:rsidRPr="006D2CF4" w:rsidRDefault="00DC482F" w:rsidP="0005319A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1. Э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кономическое развитие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…………………………………………</w:t>
      </w:r>
      <w:r w:rsid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......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6D2CF4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05319A" w:rsidRPr="006D2CF4" w:rsidRDefault="00DC482F" w:rsidP="0005319A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2. Д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ошкольное образование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…………………………………………….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.6</w:t>
      </w:r>
    </w:p>
    <w:p w:rsidR="0005319A" w:rsidRPr="006D2CF4" w:rsidRDefault="00DC482F" w:rsidP="006328A3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3. О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бщее и дополнительное образование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……………………………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...6</w:t>
      </w:r>
    </w:p>
    <w:p w:rsidR="0005319A" w:rsidRPr="006D2CF4" w:rsidRDefault="00DC482F" w:rsidP="0005319A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4. К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ультура</w:t>
      </w:r>
      <w:r w:rsidR="00511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…………………………………...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…………………………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…7</w:t>
      </w:r>
    </w:p>
    <w:p w:rsidR="0005319A" w:rsidRPr="006D2CF4" w:rsidRDefault="00DC482F" w:rsidP="0005319A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5. Ф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изическая культура и спорт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…………………………………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…..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</w:p>
    <w:p w:rsidR="0005319A" w:rsidRPr="006D2CF4" w:rsidRDefault="00DC482F" w:rsidP="0005319A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азд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ел 6. Ж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илищное строительство и обеспечение граждан жильем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...8</w:t>
      </w:r>
    </w:p>
    <w:p w:rsidR="0005319A" w:rsidRPr="006D2CF4" w:rsidRDefault="00DC482F" w:rsidP="0005319A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7. Ж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илищно-коммунальное хозяйство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………………………………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...8</w:t>
      </w:r>
    </w:p>
    <w:p w:rsidR="0005319A" w:rsidRPr="006D2CF4" w:rsidRDefault="00DC482F" w:rsidP="0005319A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8. О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рганизация муниципального управления</w:t>
      </w: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……………………</w:t>
      </w:r>
      <w:r w:rsidR="006328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…..9</w:t>
      </w:r>
    </w:p>
    <w:p w:rsidR="006328A3" w:rsidRDefault="00DC482F" w:rsidP="006328A3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9.  Э</w:t>
      </w:r>
      <w:r w:rsidR="003451D9" w:rsidRPr="006D2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нергосбережение и повышение энергетической </w:t>
      </w:r>
    </w:p>
    <w:p w:rsidR="0005319A" w:rsidRDefault="006328A3" w:rsidP="006328A3">
      <w:pPr>
        <w:widowControl w:val="0"/>
        <w:tabs>
          <w:tab w:val="left" w:pos="9498"/>
        </w:tabs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эффективности……………………………………………………………………9</w:t>
      </w:r>
    </w:p>
    <w:p w:rsidR="006328A3" w:rsidRPr="006D2CF4" w:rsidRDefault="006328A3" w:rsidP="006328A3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Заключение</w:t>
      </w:r>
    </w:p>
    <w:p w:rsidR="006328A3" w:rsidRPr="006328A3" w:rsidRDefault="006328A3" w:rsidP="006328A3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5319A" w:rsidRDefault="0005319A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DC482F" w:rsidRDefault="00DC482F" w:rsidP="006D2CF4">
      <w:pPr>
        <w:spacing w:after="0" w:line="240" w:lineRule="atLeast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6D2CF4" w:rsidRDefault="006D2CF4" w:rsidP="006D2CF4">
      <w:pPr>
        <w:spacing w:after="0" w:line="240" w:lineRule="atLeast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DB441D" w:rsidRDefault="00DB441D" w:rsidP="003451D9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DB441D" w:rsidRDefault="00DB441D" w:rsidP="003451D9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DB441D" w:rsidRDefault="00DB441D" w:rsidP="003451D9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6328A3" w:rsidRDefault="006328A3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</w:p>
    <w:p w:rsidR="00DB441D" w:rsidRPr="003451D9" w:rsidRDefault="003451D9" w:rsidP="006328A3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В</w:t>
      </w:r>
      <w:r w:rsidRPr="0005319A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ведение</w:t>
      </w:r>
    </w:p>
    <w:p w:rsidR="00A52A1D" w:rsidRPr="007121B1" w:rsidRDefault="00A52A1D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121B1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Доклад  </w:t>
      </w:r>
      <w:r w:rsidRPr="007121B1">
        <w:rPr>
          <w:rFonts w:ascii="PT Astra Serif" w:hAnsi="PT Astra Serif" w:cs="Times New Roman"/>
          <w:bCs/>
          <w:sz w:val="28"/>
          <w:szCs w:val="28"/>
          <w:lang w:eastAsia="ru-RU"/>
        </w:rPr>
        <w:t>главы  администрации муниципального образования «</w:t>
      </w:r>
      <w:proofErr w:type="spellStart"/>
      <w:r w:rsidRPr="007121B1">
        <w:rPr>
          <w:rFonts w:ascii="PT Astra Serif" w:hAnsi="PT Astra Serif" w:cs="Times New Roman"/>
          <w:bCs/>
          <w:sz w:val="28"/>
          <w:szCs w:val="28"/>
          <w:lang w:eastAsia="ru-RU"/>
        </w:rPr>
        <w:t>Вешкаймский</w:t>
      </w:r>
      <w:proofErr w:type="spellEnd"/>
      <w:r w:rsidRPr="007121B1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район» «</w:t>
      </w:r>
      <w:r w:rsidRPr="007121B1">
        <w:rPr>
          <w:rFonts w:ascii="PT Astra Serif" w:hAnsi="PT Astra Serif" w:cs="Times New Roman"/>
          <w:spacing w:val="-4"/>
          <w:sz w:val="28"/>
          <w:szCs w:val="28"/>
        </w:rPr>
        <w:t xml:space="preserve">О достигнутых значениях показателей для оценки эффективности </w:t>
      </w:r>
      <w:r w:rsidRPr="007121B1">
        <w:rPr>
          <w:rFonts w:ascii="PT Astra Serif" w:hAnsi="PT Astra Serif" w:cs="Times New Roman"/>
          <w:sz w:val="28"/>
          <w:szCs w:val="28"/>
        </w:rPr>
        <w:t>деятельности органов местного самоуправления муниципального образования «</w:t>
      </w:r>
      <w:proofErr w:type="spellStart"/>
      <w:r w:rsidRPr="007121B1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7121B1">
        <w:rPr>
          <w:rFonts w:ascii="PT Astra Serif" w:hAnsi="PT Astra Serif" w:cs="Times New Roman"/>
          <w:sz w:val="28"/>
          <w:szCs w:val="28"/>
        </w:rPr>
        <w:t xml:space="preserve"> район» Ульяновской области за 2021 год </w:t>
      </w:r>
      <w:r w:rsidR="0005319A">
        <w:rPr>
          <w:rFonts w:ascii="PT Astra Serif" w:hAnsi="PT Astra Serif" w:cs="Times New Roman"/>
          <w:sz w:val="28"/>
          <w:szCs w:val="28"/>
        </w:rPr>
        <w:br/>
      </w:r>
      <w:r w:rsidRPr="007121B1">
        <w:rPr>
          <w:rFonts w:ascii="PT Astra Serif" w:hAnsi="PT Astra Serif" w:cs="Times New Roman"/>
          <w:sz w:val="28"/>
          <w:szCs w:val="28"/>
        </w:rPr>
        <w:t>и их планируемых значениях на 3-летний период»</w:t>
      </w:r>
      <w:r w:rsidRPr="007121B1">
        <w:rPr>
          <w:rFonts w:ascii="PT Astra Serif" w:hAnsi="PT Astra Serif" w:cs="Times New Roman"/>
          <w:bCs/>
          <w:sz w:val="28"/>
          <w:szCs w:val="28"/>
          <w:lang w:eastAsia="ru-RU"/>
        </w:rPr>
        <w:t> </w:t>
      </w:r>
      <w:r w:rsidRPr="007121B1">
        <w:rPr>
          <w:rFonts w:ascii="PT Astra Serif" w:hAnsi="PT Astra Serif" w:cs="Times New Roman"/>
          <w:sz w:val="28"/>
          <w:szCs w:val="28"/>
          <w:lang w:eastAsia="ru-RU"/>
        </w:rPr>
        <w:t>подготовлен в соответствии:</w:t>
      </w:r>
    </w:p>
    <w:p w:rsidR="00A52A1D" w:rsidRPr="007121B1" w:rsidRDefault="00A52A1D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- с Указом Президента Российской Федерации от 28.04.2008 г. № 607 </w:t>
      </w:r>
      <w:r w:rsidR="0005319A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«Об оценке  </w:t>
      </w:r>
      <w:proofErr w:type="gramStart"/>
      <w:r w:rsidRPr="007121B1">
        <w:rPr>
          <w:rFonts w:ascii="PT Astra Serif" w:hAnsi="PT Astra Serif" w:cs="Times New Roman"/>
          <w:sz w:val="28"/>
          <w:szCs w:val="28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 и муниципальных районов»;</w:t>
      </w:r>
    </w:p>
    <w:p w:rsidR="00A52A1D" w:rsidRPr="007121B1" w:rsidRDefault="00A52A1D" w:rsidP="00A52A1D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-  с Постановлением Правительства РФ от 17 декабря 2012 г.  № 1317- </w:t>
      </w:r>
      <w:proofErr w:type="gramStart"/>
      <w:r w:rsidRPr="007121B1">
        <w:rPr>
          <w:rFonts w:ascii="PT Astra Serif" w:hAnsi="PT Astra Serif" w:cs="Times New Roman"/>
          <w:sz w:val="28"/>
          <w:szCs w:val="28"/>
          <w:lang w:eastAsia="ru-RU"/>
        </w:rPr>
        <w:t>П</w:t>
      </w:r>
      <w:proofErr w:type="gramEnd"/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5319A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7121B1">
        <w:rPr>
          <w:rFonts w:ascii="PT Astra Serif" w:hAnsi="PT Astra Serif" w:cs="Times New Roman"/>
          <w:sz w:val="28"/>
          <w:szCs w:val="28"/>
          <w:lang w:eastAsia="ru-RU"/>
        </w:rPr>
        <w:t>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районов»;</w:t>
      </w:r>
    </w:p>
    <w:p w:rsidR="00A52A1D" w:rsidRPr="007121B1" w:rsidRDefault="00A52A1D" w:rsidP="00A52A1D">
      <w:pPr>
        <w:spacing w:after="0" w:line="240" w:lineRule="atLeast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121B1"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Pr="00355F5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Pr="007121B1">
        <w:rPr>
          <w:rFonts w:ascii="PT Astra Serif" w:hAnsi="PT Astra Serif" w:cs="Times New Roman"/>
          <w:sz w:val="28"/>
          <w:szCs w:val="28"/>
        </w:rPr>
        <w:t>нормативными правовыми актами Ульяновской области, регламентирующими работу по оценке эффективности деятельности органов местного самоуправления в Ульяновской области.</w:t>
      </w:r>
    </w:p>
    <w:p w:rsidR="00A52A1D" w:rsidRPr="007121B1" w:rsidRDefault="00A52A1D" w:rsidP="00A52A1D">
      <w:pPr>
        <w:pStyle w:val="ad"/>
        <w:spacing w:before="0" w:beforeAutospacing="0" w:after="0" w:afterAutospacing="0" w:line="240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7121B1">
        <w:rPr>
          <w:rFonts w:ascii="PT Astra Serif" w:hAnsi="PT Astra Serif"/>
          <w:sz w:val="28"/>
          <w:szCs w:val="28"/>
        </w:rPr>
        <w:t xml:space="preserve">          Для подготовки доклада использованы отчетные данные за январь - декабрь </w:t>
      </w:r>
      <w:r>
        <w:rPr>
          <w:rFonts w:ascii="PT Astra Serif" w:hAnsi="PT Astra Serif"/>
          <w:sz w:val="28"/>
          <w:szCs w:val="28"/>
        </w:rPr>
        <w:t>202</w:t>
      </w:r>
      <w:r w:rsidRPr="00355F56">
        <w:rPr>
          <w:rFonts w:ascii="PT Astra Serif" w:hAnsi="PT Astra Serif"/>
          <w:sz w:val="28"/>
          <w:szCs w:val="28"/>
        </w:rPr>
        <w:t>2</w:t>
      </w:r>
      <w:r w:rsidRPr="007121B1">
        <w:rPr>
          <w:rFonts w:ascii="PT Astra Serif" w:hAnsi="PT Astra Serif"/>
          <w:sz w:val="28"/>
          <w:szCs w:val="28"/>
        </w:rPr>
        <w:t xml:space="preserve"> года по основным экономическим и социальным показателям, представлены территориальным органом Федеральной службы государственной статистики по Ульяновской области, а так же информация структурных подразделений администрации муниципального образования «</w:t>
      </w:r>
      <w:proofErr w:type="spellStart"/>
      <w:r w:rsidRPr="007121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7121B1">
        <w:rPr>
          <w:rFonts w:ascii="PT Astra Serif" w:hAnsi="PT Astra Serif"/>
          <w:sz w:val="28"/>
          <w:szCs w:val="28"/>
        </w:rPr>
        <w:t xml:space="preserve"> район» о состоянии курируемых ими отраслей </w:t>
      </w:r>
      <w:r>
        <w:rPr>
          <w:rFonts w:ascii="PT Astra Serif" w:hAnsi="PT Astra Serif"/>
          <w:sz w:val="28"/>
          <w:szCs w:val="28"/>
        </w:rPr>
        <w:t>и сфер деятельности в 202</w:t>
      </w:r>
      <w:r w:rsidRPr="00355F56">
        <w:rPr>
          <w:rFonts w:ascii="PT Astra Serif" w:hAnsi="PT Astra Serif"/>
          <w:sz w:val="28"/>
          <w:szCs w:val="28"/>
        </w:rPr>
        <w:t>2</w:t>
      </w:r>
      <w:r w:rsidRPr="007121B1">
        <w:rPr>
          <w:rFonts w:ascii="PT Astra Serif" w:hAnsi="PT Astra Serif"/>
          <w:sz w:val="28"/>
          <w:szCs w:val="28"/>
        </w:rPr>
        <w:t xml:space="preserve"> году.</w:t>
      </w:r>
    </w:p>
    <w:p w:rsidR="00B13CB8" w:rsidRPr="002103BE" w:rsidRDefault="00B13CB8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13CB8" w:rsidRPr="002103BE" w:rsidRDefault="00B13CB8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A52A1D" w:rsidRDefault="00A52A1D" w:rsidP="00B13CB8">
      <w:pPr>
        <w:widowControl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B13CB8" w:rsidRPr="002103BE" w:rsidRDefault="00B13CB8" w:rsidP="00B13CB8">
      <w:pPr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</w:p>
    <w:p w:rsidR="00B13CB8" w:rsidRDefault="00B13CB8" w:rsidP="00A52A1D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DC482F" w:rsidRPr="00C803C8" w:rsidRDefault="00DC482F" w:rsidP="00A52A1D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6328A3" w:rsidRDefault="006328A3" w:rsidP="003451D9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80760" w:rsidRPr="003451D9" w:rsidRDefault="003451D9" w:rsidP="003451D9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</w:t>
      </w:r>
      <w:r w:rsidRPr="00732E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аздел 1.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Э</w:t>
      </w:r>
      <w:r w:rsidRPr="00732E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кономическое развитие</w:t>
      </w:r>
    </w:p>
    <w:p w:rsidR="00A52A1D" w:rsidRDefault="00A52A1D" w:rsidP="00A52A1D">
      <w:pPr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295</w:t>
      </w:r>
      <w:r w:rsidRP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 и 137 юридических лиц. </w:t>
      </w:r>
    </w:p>
    <w:p w:rsidR="00322B92" w:rsidRPr="000B37E2" w:rsidRDefault="0001678A" w:rsidP="00322B92">
      <w:pPr>
        <w:spacing w:after="100" w:afterAutospacing="1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«число субъектов малого и среднего предпринимательства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на </w:t>
      </w:r>
      <w:r w:rsidR="008F3A15">
        <w:rPr>
          <w:rFonts w:ascii="Times New Roman" w:eastAsia="Times New Roman" w:hAnsi="Times New Roman" w:cs="Times New Roman"/>
          <w:sz w:val="28"/>
          <w:szCs w:val="28"/>
          <w:lang w:eastAsia="ru-RU"/>
        </w:rPr>
        <w:t>10 тыс. человек населения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81CE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 </w:t>
      </w:r>
      <w:r w:rsidR="00DA23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3C8" w:rsidRP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3A1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E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A2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8F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A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2021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BC279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3A1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C279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41DDC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="008F3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="008F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наблюдалось </w:t>
      </w:r>
      <w:r w:rsidR="00C41DDC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малых предприятий</w:t>
      </w:r>
      <w:r w:rsidR="00FB0657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2B92" w:rsidRPr="000B37E2">
        <w:rPr>
          <w:rFonts w:ascii="PT Astra Serif" w:hAnsi="PT Astra Serif"/>
          <w:color w:val="000000" w:themeColor="text1"/>
          <w:sz w:val="28"/>
          <w:szCs w:val="28"/>
        </w:rPr>
        <w:t>Общее количество предприятий и индивидуальных предпринимателей по сравнению с 2021 годом снизилось на 1 единицу. Причиной снижения являетс</w:t>
      </w:r>
      <w:r w:rsidR="00274A9F">
        <w:rPr>
          <w:rFonts w:ascii="PT Astra Serif" w:hAnsi="PT Astra Serif"/>
          <w:color w:val="000000" w:themeColor="text1"/>
          <w:sz w:val="28"/>
          <w:szCs w:val="28"/>
        </w:rPr>
        <w:t>я введение  налогового режима «</w:t>
      </w:r>
      <w:r w:rsidR="00322B92" w:rsidRPr="000B37E2">
        <w:rPr>
          <w:rFonts w:ascii="PT Astra Serif" w:hAnsi="PT Astra Serif"/>
          <w:color w:val="000000" w:themeColor="text1"/>
          <w:sz w:val="28"/>
          <w:szCs w:val="28"/>
        </w:rPr>
        <w:t xml:space="preserve">Налог </w:t>
      </w:r>
      <w:r w:rsidR="00274A9F">
        <w:rPr>
          <w:rFonts w:ascii="PT Astra Serif" w:hAnsi="PT Astra Serif"/>
          <w:color w:val="000000" w:themeColor="text1"/>
          <w:sz w:val="28"/>
          <w:szCs w:val="28"/>
        </w:rPr>
        <w:br/>
      </w:r>
      <w:r w:rsidR="00322B92" w:rsidRPr="000B37E2">
        <w:rPr>
          <w:rFonts w:ascii="PT Astra Serif" w:hAnsi="PT Astra Serif"/>
          <w:color w:val="000000" w:themeColor="text1"/>
          <w:sz w:val="28"/>
          <w:szCs w:val="28"/>
        </w:rPr>
        <w:t>на профессиональный доход», а также отмена с января 2022 года налогового режима «Единый налог на вмененный доход».</w:t>
      </w:r>
    </w:p>
    <w:p w:rsidR="0001678A" w:rsidRPr="0006769E" w:rsidRDefault="0001678A" w:rsidP="00322B9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61A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количества предпринимателей наблюдалось 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торговли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ремонта автотранспортных средств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основными  причинами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«ухода» предпринимателей можно назвать следующие - </w:t>
      </w:r>
      <w:r w:rsidR="008F7EA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платежеспособный спрос населения,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подорожание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оваров</w:t>
      </w:r>
      <w:r w:rsidR="008F7EA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спроса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товары</w:t>
      </w:r>
      <w:r w:rsidR="00BD2A7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7C03" w:rsidRPr="00732EBF" w:rsidRDefault="006C109B" w:rsidP="00397C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среднесписочной численности работников (без внешних совместителей) малых и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предприятий в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среднесписочной численности работников (без внешних совместителей) всех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организаций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14CF1" w:rsidRP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F5CA8">
        <w:rPr>
          <w:rFonts w:ascii="Times New Roman" w:eastAsia="Times New Roman" w:hAnsi="Times New Roman" w:cs="Times New Roman"/>
          <w:sz w:val="28"/>
          <w:szCs w:val="28"/>
          <w:lang w:eastAsia="ru-RU"/>
        </w:rPr>
        <w:t>5,05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по сравнению с уровнем 20</w:t>
      </w:r>
      <w:r w:rsidR="00C14CF1" w:rsidRP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составила </w:t>
      </w:r>
      <w:r w:rsidR="005F5CA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5F5C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107A9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тем, что в 20</w:t>
      </w:r>
      <w:r w:rsidR="00C14CF1" w:rsidRP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F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наблюдался</w:t>
      </w:r>
      <w:r w:rsidR="00397C0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397C0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среднесписочной численности работников крупных и средних предприятий. Так п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</w:t>
      </w:r>
      <w:proofErr w:type="spellStart"/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</w:t>
      </w:r>
      <w:r w:rsidR="005C3A11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стата</w:t>
      </w:r>
      <w:proofErr w:type="spellEnd"/>
      <w:r w:rsidR="005C3A11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4CF1" w:rsidRP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среднесписочная численность работников организаций (без внешних совместителей),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субъектов малого предпринимательства составила 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>1829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A603F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человек</w:t>
      </w:r>
      <w:r w:rsidR="005C3A11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чем в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7C0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оду. </w:t>
      </w:r>
    </w:p>
    <w:p w:rsidR="006D2CF4" w:rsidRDefault="00EA0D4C" w:rsidP="006D2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показателя «Объем инвестиций в основной капитал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бюджетных средств) в расчете на 1 жителя» 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динамику роста объема инвестиций. Так по 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2022</w:t>
      </w:r>
      <w:r w:rsidR="00EC7F8A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показателя составила </w:t>
      </w:r>
      <w:r w:rsidR="00B925F9" w:rsidRP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>20599,9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DA235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величины показателя в 2021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DA2351">
        <w:rPr>
          <w:rFonts w:ascii="Times New Roman" w:eastAsia="Times New Roman" w:hAnsi="Times New Roman" w:cs="Times New Roman"/>
          <w:sz w:val="28"/>
          <w:szCs w:val="28"/>
          <w:lang w:eastAsia="ru-RU"/>
        </w:rPr>
        <w:t>14592,4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данного показателя связан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инвестиций в основной капитал за счет увеличения объема привлеченных средств (заемные и кредитные)</w:t>
      </w:r>
      <w:r w:rsidR="00DA2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планируется рост показателя в среднем на 1</w:t>
      </w:r>
      <w:r w:rsidR="006E4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E4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:rsidR="006E4D1D" w:rsidRDefault="006E4D1D" w:rsidP="006D2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площади земельных участков, являющихся объектами налогообложения земельным налогом, в общей площади территории м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FF183F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70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,9 процента (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гражданами и юридическими лицами прав собственности на земельные участки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769E" w:rsidRPr="00732EBF" w:rsidRDefault="0006769E" w:rsidP="00FF18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прибыльных сельскохозяйственных </w:t>
      </w:r>
      <w:proofErr w:type="gramStart"/>
      <w:r w:rsidRP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их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неизменной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100%.</w:t>
      </w:r>
    </w:p>
    <w:p w:rsidR="00107A9B" w:rsidRPr="00732EBF" w:rsidRDefault="00406556" w:rsidP="006E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«Доля протяженности автомобильных дорог общего пользования местного значения, не отвечающих нормативным требованиям,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протяженности автомобильных дорог общего пользования местного значения».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A9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в</w:t>
      </w:r>
      <w:r w:rsidR="00B9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17AA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17AA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неизменным и составил 4,5%</w:t>
      </w:r>
      <w:r w:rsidR="00052C2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555" w:rsidRPr="00755555">
        <w:t xml:space="preserve"> 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общего пользования местного значения отвечают нормативным требованиям. Ежегодно осуществляется ремонт дорожного полотна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556" w:rsidRPr="00732EBF" w:rsidRDefault="00437D7C" w:rsidP="006E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</w:t>
      </w:r>
      <w:r w:rsid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>29 тысяч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6E4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A01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 </w:t>
      </w:r>
      <w:r w:rsid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>9,19 % выше показателя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01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769E" w:rsidRP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>26572,5</w:t>
      </w:r>
      <w:r w:rsidR="00A01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Темпы роста средне</w:t>
      </w:r>
      <w:r w:rsidR="00067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месячной заработной платы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ниже темпов роста потребительских цен на товары и платные услуги. Это свидетельствует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снижении покупательской способности населения и сокращении реальных располагаемых доходов населения.</w:t>
      </w:r>
    </w:p>
    <w:p w:rsidR="00A15BB9" w:rsidRPr="00732EBF" w:rsidRDefault="0031079E" w:rsidP="00744E9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Темпы роста среднемесячной нач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исленной заработной платы  в 2023-2025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107A9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прогнозируются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A15BB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сложной экономической ситуацией, сложившейся в силу негативных внешних факторов</w:t>
      </w:r>
      <w:r w:rsidR="00107A9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BB9" w:rsidRPr="00732EBF" w:rsidRDefault="0064459C" w:rsidP="00BE2D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дошкольных о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учреждений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составила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85E" w:rsidRP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21496,1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AD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6E4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16AD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E2D2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выше уровня  2021</w:t>
      </w:r>
      <w:r w:rsidR="00873081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E60A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19821,9</w:t>
      </w:r>
      <w:r w:rsidR="00873081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</w:t>
      </w:r>
    </w:p>
    <w:p w:rsidR="00516ADE" w:rsidRPr="00732EBF" w:rsidRDefault="0064459C" w:rsidP="008E7A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общеобразовательных учреждений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516AD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E4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57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 с 2021</w:t>
      </w:r>
      <w:r w:rsidR="00516AD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C803C8">
        <w:rPr>
          <w:rFonts w:ascii="Times New Roman" w:eastAsia="Times New Roman" w:hAnsi="Times New Roman" w:cs="Times New Roman"/>
          <w:sz w:val="28"/>
          <w:szCs w:val="28"/>
          <w:lang w:eastAsia="ru-RU"/>
        </w:rPr>
        <w:t>4,49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AD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 составила </w:t>
      </w:r>
      <w:r w:rsidR="005E485E" w:rsidRP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25980,8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AD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823129" w:rsidRPr="00732EBF" w:rsidRDefault="001A6044" w:rsidP="006E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учителей муниципальных общеобразовательных учреждений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9E295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в сравнении с 2021</w:t>
      </w:r>
      <w:r w:rsidR="00BE2D04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73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 </w:t>
      </w:r>
      <w:r w:rsidR="00BE2D04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04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составила </w:t>
      </w:r>
      <w:r w:rsidR="005E485E" w:rsidRP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32985,7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04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4371D" w:rsidRDefault="0064459C" w:rsidP="00A437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муниципальных учреждений культуры и искусства 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9E295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E2D04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="009E295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95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E295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6,8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>% и</w:t>
      </w:r>
      <w:r w:rsidR="009E295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5E485E" w:rsidRP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22477,6</w:t>
      </w:r>
      <w:r w:rsid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5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E2D04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B0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5E" w:rsidRPr="00732EBF" w:rsidRDefault="005E485E" w:rsidP="00A437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</w:t>
      </w:r>
      <w:r w:rsidRPr="005E4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BB0D3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 в сравнении с 20</w:t>
      </w:r>
      <w:r w:rsidR="00BB0D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B0D3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BB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 </w:t>
      </w:r>
      <w:r w:rsidR="00BB0D3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 составила </w:t>
      </w:r>
      <w:r w:rsidR="00BB0D3D" w:rsidRPr="00BB0D3D">
        <w:rPr>
          <w:rFonts w:ascii="Times New Roman" w:eastAsia="Times New Roman" w:hAnsi="Times New Roman" w:cs="Times New Roman"/>
          <w:sz w:val="28"/>
          <w:szCs w:val="28"/>
          <w:lang w:eastAsia="ru-RU"/>
        </w:rPr>
        <w:t>26311,8</w:t>
      </w:r>
      <w:r w:rsidR="00BB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3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D2CF4" w:rsidRDefault="005E485E" w:rsidP="006D2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371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1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прогнозируется увеличение среднемесячной номинальной начисленной заработной платы работников муниципальных </w:t>
      </w:r>
      <w:r w:rsidR="00A4371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 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71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8452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="00A4371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E2D04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CF4" w:rsidRPr="00732EBF" w:rsidRDefault="006D2CF4" w:rsidP="006D2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8E" w:rsidRPr="003451D9" w:rsidRDefault="003451D9" w:rsidP="003451D9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Раздел 2. Д</w:t>
      </w:r>
      <w:r w:rsidRPr="00A52A1D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ошкольное образование</w:t>
      </w:r>
    </w:p>
    <w:p w:rsidR="00B13CB8" w:rsidRPr="00732EBF" w:rsidRDefault="00B13CB8" w:rsidP="00FF1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система дошкольного образования </w:t>
      </w:r>
      <w:r w:rsidR="00D72D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7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="00D7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</w:t>
      </w:r>
      <w:r w:rsidR="00FF1D6E" w:rsidRP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F1D6E" w:rsidRP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Центр дополнительного образования р.п. Вешкайма Ульяновской области</w:t>
      </w:r>
      <w:r w:rsidR="00A52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0C2" w:rsidRPr="00732EBF" w:rsidRDefault="00930417" w:rsidP="005807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в возрасте 1-6 лет» 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увеличился в сравнении с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пункта.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Доукомплектование дошкольных образовательных органи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 детьми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возрасте 1-6 лет).</w:t>
      </w:r>
    </w:p>
    <w:p w:rsidR="00A4371D" w:rsidRPr="00732EBF" w:rsidRDefault="00D750C2" w:rsidP="005807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«Доля детей в возрасте 1-6 лет, стоящих на учете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в муниципальные дошкольные образовательные учреждения,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численности д</w:t>
      </w:r>
      <w:r w:rsidR="0073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в возрасте 1-6 лет»  имеет 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37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показатель </w:t>
      </w:r>
      <w:r w:rsidR="00737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="00A6467A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377FC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="00030B8E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связано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детей, не достигших возраста зачисления в ДОО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6467A" w:rsidRPr="00732EBF" w:rsidRDefault="00A6467A" w:rsidP="00A64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 дошкольных образовательных учреждений находящихся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аварийном состоянии или требующих капитального ремонта на территории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90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7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Вешкаймкий</w:t>
      </w:r>
      <w:proofErr w:type="spellEnd"/>
      <w:r w:rsidR="0073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составила 0</w:t>
      </w:r>
      <w:r w:rsid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отметить, что в рамках 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"Развитие и модернизация образования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Ульяновской области" будет проведен  ремонт МБДОУ </w:t>
      </w:r>
      <w:proofErr w:type="spellStart"/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"Рябинка" (кровля, инженерные сети, освещение, ограждение, отопление, косметический ремонт)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0C2" w:rsidRPr="00732EBF" w:rsidRDefault="00D750C2" w:rsidP="005E7436">
      <w:pPr>
        <w:widowControl w:val="0"/>
        <w:spacing w:after="0" w:line="360" w:lineRule="auto"/>
        <w:ind w:right="278"/>
        <w:rPr>
          <w:rFonts w:ascii="Times New Roman" w:eastAsia="Times New Roman" w:hAnsi="Times New Roman" w:cs="Times New Roman"/>
          <w:b/>
          <w:caps/>
          <w:noProof/>
          <w:lang w:eastAsia="ru-RU"/>
        </w:rPr>
      </w:pPr>
    </w:p>
    <w:p w:rsidR="00B13CB8" w:rsidRPr="003451D9" w:rsidRDefault="003451D9" w:rsidP="003451D9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Раздел 3. О</w:t>
      </w:r>
      <w:r w:rsidRPr="0075555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бщее и дополнительное образование</w:t>
      </w:r>
    </w:p>
    <w:p w:rsidR="00FF1D6E" w:rsidRDefault="00FF1D6E" w:rsidP="000E0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</w:t>
      </w:r>
      <w:r w:rsidRP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году составил 1,75 % (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подготовки учащихся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ГИА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1D6E" w:rsidRDefault="00FF1D6E" w:rsidP="000E0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</w:t>
      </w:r>
      <w:r w:rsidRP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</w:t>
      </w:r>
      <w:r w:rsidRP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</w:t>
      </w:r>
      <w:r w:rsidRP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без изменений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36223A">
        <w:rPr>
          <w:rFonts w:ascii="Times New Roman" w:eastAsia="Times New Roman" w:hAnsi="Times New Roman" w:cs="Times New Roman"/>
          <w:sz w:val="28"/>
          <w:szCs w:val="28"/>
          <w:lang w:eastAsia="ru-RU"/>
        </w:rPr>
        <w:t>87,</w:t>
      </w:r>
      <w:r w:rsidRPr="00FF1D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AFD" w:rsidRPr="007A7351" w:rsidRDefault="00646D9F" w:rsidP="000E0A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Доля детей первой и второй групп здоровья в общей </w:t>
      </w:r>
      <w:proofErr w:type="gramStart"/>
      <w:r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численности</w:t>
      </w:r>
      <w:proofErr w:type="gramEnd"/>
      <w:r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обучающихся в муниципальных общеобразовательных учреждениях </w:t>
      </w:r>
      <w:r w:rsidR="00FF1D6E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снизилась </w:t>
      </w:r>
      <w:r w:rsidR="0005319A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36223A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74,9</w:t>
      </w:r>
      <w:r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%   в </w:t>
      </w:r>
      <w:r w:rsidR="0036223A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2021 году до 7</w:t>
      </w:r>
      <w:r w:rsidR="00FF1D6E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36223A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,9</w:t>
      </w:r>
      <w:r w:rsidR="00274A9F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20</w:t>
      </w:r>
      <w:r w:rsidR="00FF1D6E"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</w:t>
      </w:r>
      <w:r w:rsidRPr="007A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году. </w:t>
      </w:r>
    </w:p>
    <w:p w:rsidR="00507982" w:rsidRPr="00732EBF" w:rsidRDefault="00507982" w:rsidP="000E0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</w:t>
      </w:r>
      <w:r w:rsidR="00B13CB8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3E3AB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CB8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="007A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12,1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 к уровню 2021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 w:rsidR="00B13CB8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7A7351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="00B13CB8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B13CB8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азателя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связано 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арифов на коммунальные услуги,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дров, продуктов питания,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797827" w:rsidRPr="00732EBF" w:rsidRDefault="00B13CB8" w:rsidP="00CB0C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формы собственности, в общей численности дете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данной возрастной группы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</w:t>
      </w:r>
      <w:r w:rsidR="003E3AB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362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92, 5</w:t>
      </w:r>
      <w:r w:rsidR="00CB0C4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новые </w:t>
      </w:r>
      <w:proofErr w:type="spellStart"/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высокооснащённые</w:t>
      </w:r>
      <w:proofErr w:type="spellEnd"/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дополнительного образования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C45" w:rsidRPr="00732EBF" w:rsidRDefault="00CB0C45" w:rsidP="00B13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ED" w:rsidRPr="003451D9" w:rsidRDefault="003451D9" w:rsidP="003451D9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</w:t>
      </w:r>
      <w:r w:rsidRPr="0075555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здел 4. К</w:t>
      </w:r>
      <w:r w:rsidRPr="0075555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ультура</w:t>
      </w:r>
    </w:p>
    <w:p w:rsidR="003E3ABB" w:rsidRPr="00732EBF" w:rsidRDefault="003E3ABB" w:rsidP="003E3AB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Культурная сеть 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</w:t>
      </w:r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авлена МБУ </w:t>
      </w:r>
      <w:proofErr w:type="spellStart"/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="00BA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дом культуры и сельскими домами культуры в сельских поселениях.</w:t>
      </w:r>
    </w:p>
    <w:p w:rsidR="003E3ABB" w:rsidRPr="00732EBF" w:rsidRDefault="003E3ABB" w:rsidP="003E3AB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коллектива Дома культуры:</w:t>
      </w:r>
    </w:p>
    <w:p w:rsidR="003E3ABB" w:rsidRPr="00732EBF" w:rsidRDefault="003E3ABB" w:rsidP="003E3AB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самодеятельного народного творчества;</w:t>
      </w:r>
    </w:p>
    <w:p w:rsidR="003E3ABB" w:rsidRPr="00732EBF" w:rsidRDefault="003E3ABB" w:rsidP="003E3AB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творческого потенциала населения;</w:t>
      </w:r>
    </w:p>
    <w:p w:rsidR="003E3ABB" w:rsidRPr="00732EBF" w:rsidRDefault="003E3ABB" w:rsidP="003E3AB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содержательного досуга жителей муниципального образования.</w:t>
      </w:r>
    </w:p>
    <w:p w:rsidR="003E3ABB" w:rsidRDefault="00B44E55" w:rsidP="003E3AB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муниципальных учреждений культуры, здания которых находятся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аварийном состоянии или требуют капитального ремонта, в общем количестве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составила 2,4 %.</w:t>
      </w:r>
    </w:p>
    <w:p w:rsidR="00B44E55" w:rsidRPr="00755555" w:rsidRDefault="00B44E55" w:rsidP="003E3AB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13CB8" w:rsidRPr="00755555" w:rsidRDefault="003451D9" w:rsidP="00B13CB8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Раздел 5.Ф</w:t>
      </w:r>
      <w:r w:rsidRPr="0075555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изическая культура и  спорт</w:t>
      </w:r>
    </w:p>
    <w:p w:rsidR="001E6C95" w:rsidRPr="00E60485" w:rsidRDefault="001E6C95" w:rsidP="000E0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населения, систематически занимающихся физической культурой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спортом</w:t>
      </w:r>
      <w:r w:rsidR="00B4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к уровню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увеличилась на </w:t>
      </w:r>
      <w:r w:rsidR="00B44E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систематически занимающихся физической культурой и спортом, в общ</w:t>
      </w:r>
      <w:r w:rsidR="00B44E55"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gramStart"/>
      <w:r w:rsidR="00B44E55"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="00B44E55"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2022</w:t>
      </w:r>
      <w:r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на </w:t>
      </w:r>
      <w:r w:rsidR="00B44E55"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="003C146E"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="003C146E"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ентных пун</w:t>
      </w:r>
      <w:r w:rsidR="00B44E55"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в сравнении с 2021</w:t>
      </w:r>
      <w:r w:rsidRP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</w:t>
      </w:r>
    </w:p>
    <w:p w:rsidR="007E7D1A" w:rsidRPr="00732EBF" w:rsidRDefault="00B44E55" w:rsidP="000E0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к 2023</w:t>
      </w:r>
      <w:r w:rsidR="001E6C9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населения, систематически занимающегося физической культурой и спортом, достигнет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E6C9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1E6C9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доля </w:t>
      </w:r>
      <w:r w:rsidR="001E6C9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обучающихся, систематически занимающихся физической культурой и спортом, в общей численности обучающихся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85,2</w:t>
      </w:r>
      <w:r w:rsidR="001E6C9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E3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575E3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проводятся 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 по различным видам спорта.</w:t>
      </w:r>
    </w:p>
    <w:p w:rsidR="00D115ED" w:rsidRPr="00732EBF" w:rsidRDefault="00D115ED" w:rsidP="00575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B8" w:rsidRPr="00755555" w:rsidRDefault="003451D9" w:rsidP="00B13CB8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Раздел 6. Ж</w:t>
      </w:r>
      <w:r w:rsidRPr="0075555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илищное строительство и обеспечение граждан жильем</w:t>
      </w:r>
    </w:p>
    <w:p w:rsidR="00815E2C" w:rsidRDefault="00B13CB8" w:rsidP="00815E2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318293282"/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жилищного строительства является одним 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приоритетных направлений деятельности администрации 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555" w:rsidRDefault="00B13CB8" w:rsidP="007555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жилых помещений, приходящихся в средне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одного жителя</w:t>
      </w:r>
      <w:r w:rsid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концу 2022 года составила 32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что на </w:t>
      </w:r>
      <w:r w:rsid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выше показателя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1A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динамика показателей 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строительства жилых домов индивидуальными застройщиками</w:t>
      </w:r>
      <w:r w:rsid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555" w:rsidRPr="0075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0D5" w:rsidRDefault="007E7D1A" w:rsidP="007555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</w:t>
      </w:r>
      <w:r w:rsidR="000500D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земельных участков, предоставленных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00D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в расчете на 10 тыс. человек населения, 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значение показателя составило 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1,68</w:t>
      </w:r>
      <w:r w:rsidR="00CB0C4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0500D5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41C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льства, что выше показателя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7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5E2C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CC641C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E32CE4" w:rsidRPr="00732EBF" w:rsidRDefault="00E32CE4" w:rsidP="007555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данного показателя необходимо привлечение инвестиций для строительства нового микрорайона на земельном участке площадью 16 га в районе ул. Кольцевой в р.п. Вешкайма. Для этого необходимо строительство инженерной инфраструктуры, на которую требуется сумма затрат, нереальная для бюджета муниципального образования. Требуется участие региональных и федеральных органов власти для предоставления финансовой поддержки и содействия в реализации проекта.</w:t>
      </w:r>
    </w:p>
    <w:p w:rsidR="007E7D1A" w:rsidRPr="00732EBF" w:rsidRDefault="00241F62" w:rsidP="00580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 в целях обеспечения ввода в эксплуатацию  объектов капитального строительства регулярно проводится разъяснительная работа с застройщиками о необходимости соблюдения действующих норм и правил при строительстве и своевременной регистрации законченных строительством объектов в соответствии с действующим законодательством.</w:t>
      </w:r>
    </w:p>
    <w:p w:rsidR="00D115ED" w:rsidRPr="00732EBF" w:rsidRDefault="00D115ED" w:rsidP="00B1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AA708E" w:rsidRPr="00F95EF3" w:rsidRDefault="003451D9" w:rsidP="00F95EF3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Раздел 7.Ж</w:t>
      </w:r>
      <w:r w:rsidRPr="0075555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илищно-коммунальное хозяйство</w:t>
      </w:r>
    </w:p>
    <w:p w:rsidR="00B13CB8" w:rsidRPr="00732EBF" w:rsidRDefault="00B13CB8" w:rsidP="00135E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данными домами, составила 100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6447" w:rsidRPr="00732EBF" w:rsidRDefault="00746447" w:rsidP="007464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мероприятий, направленных на постановку всех земельных участков, на которых расположены многоквартирные дома,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государственный кадастровый учет 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 </w:t>
      </w:r>
      <w:r w:rsidR="00E6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97,5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6328A3" w:rsidRDefault="0047086F" w:rsidP="00E60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«Доля населения, получившего жилые помещения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улучшившего жилищные условия в отчетном году, в общей численности населения, состоящего на учете в качестве нуждающегося в жилых помещениях» 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увеличился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на </w:t>
      </w:r>
      <w:r w:rsidR="005E743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процентный пункт.</w:t>
      </w:r>
      <w:proofErr w:type="gramEnd"/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связан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</w:t>
      </w:r>
      <w:r w:rsidR="00F95EF3" w:rsidRP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5EF3" w:rsidRP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F3" w:rsidRP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повышения уровня качества жизни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485" w:rsidRPr="00E60485" w:rsidRDefault="00E60485" w:rsidP="00E604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B8" w:rsidRPr="00F95EF3" w:rsidRDefault="003451D9" w:rsidP="00750676">
      <w:pPr>
        <w:widowControl w:val="0"/>
        <w:tabs>
          <w:tab w:val="left" w:pos="6237"/>
        </w:tabs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Раздел 8.О</w:t>
      </w:r>
      <w:r w:rsidRPr="00F95EF3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рганизация муниципального управления</w:t>
      </w:r>
    </w:p>
    <w:p w:rsidR="00B351B0" w:rsidRDefault="00B351B0" w:rsidP="00CF64B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8234B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доходную часть консолидированного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8234B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P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>571,9 млн</w:t>
      </w:r>
      <w:proofErr w:type="gramStart"/>
      <w:r w:rsidRP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что на 2,6 % больше, чем в 2021 году.</w:t>
      </w:r>
    </w:p>
    <w:p w:rsidR="00750676" w:rsidRDefault="00750676" w:rsidP="00CF64B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и неналоговых доходов местного бюджета </w:t>
      </w:r>
      <w:r w:rsidR="0041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(без учета субвенций)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>11,2 процент по сравнению с 2021 годом и составила 26,1</w:t>
      </w:r>
      <w:r w:rsidR="005F7A93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1B0" w:rsidRPr="00732EBF" w:rsidRDefault="00B351B0" w:rsidP="00CF64B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составила </w:t>
      </w:r>
      <w:r w:rsidR="007A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%. Это связано</w:t>
      </w:r>
      <w:r w:rsidR="00F91960" w:rsidRP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91960" w:rsidRP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просроченной кредиторской задолженности по страховым вносам увеличилась </w:t>
      </w:r>
      <w:r w:rsidR="0041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просроченной кредиторской </w:t>
      </w:r>
      <w:r w:rsidR="00F91960" w:rsidRP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оплате труда муниципальных учреждений в общем объеме расходов на оплату труда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B1E51" w:rsidRPr="00732EBF" w:rsidRDefault="009B1E51" w:rsidP="00CF64B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показателей: «Доля основных фондов организаций муниципальной формы собственности, находящихся в стадии банкротства,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фондах организаций муниципальной формы собственности (на конец года</w:t>
      </w:r>
      <w:r w:rsidR="00B3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полной учетной стоимости)»,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не завершенного в установленные сроки строительства, осуществляемого за счет средств бюджета городского округа (муниципального района)» равны нулю.</w:t>
      </w:r>
    </w:p>
    <w:p w:rsidR="00F91960" w:rsidRDefault="008234B6" w:rsidP="008234B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«Расходы бюджета муниципального образования </w:t>
      </w:r>
      <w:r w:rsidR="00053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работников органов местного самоуправления в расчете </w:t>
      </w:r>
      <w:r w:rsidR="0041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жителя му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образования» в 2022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45,7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показателем 2021 года - в</w:t>
      </w:r>
      <w:r w:rsidR="00F91960" w:rsidRP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91960" w:rsidRP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погашением в 2021 году кредиторской  задолженности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F96" w:rsidRPr="00732EBF" w:rsidRDefault="0041260E" w:rsidP="00CF64B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="0009618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«Удовлетворенность населения деятельностью органов местного </w:t>
      </w:r>
      <w:proofErr w:type="gramStart"/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самоуправлении</w:t>
      </w:r>
      <w:proofErr w:type="gramEnd"/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4B5B1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09618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5D7C43">
        <w:rPr>
          <w:rFonts w:ascii="Times New Roman" w:eastAsia="Times New Roman" w:hAnsi="Times New Roman" w:cs="Times New Roman"/>
          <w:sz w:val="28"/>
          <w:szCs w:val="28"/>
          <w:lang w:eastAsia="ru-RU"/>
        </w:rPr>
        <w:t>74,38</w:t>
      </w:r>
      <w:r w:rsidR="0009618B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9618B" w:rsidRPr="00732EBF" w:rsidRDefault="0009618B" w:rsidP="00F45F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B8" w:rsidRDefault="003451D9" w:rsidP="003451D9">
      <w:pPr>
        <w:widowControl w:val="0"/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Раздел 9. Э</w:t>
      </w:r>
      <w:r w:rsidRPr="00F95EF3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нергосбережение и повышение энергетической эффективности</w:t>
      </w:r>
    </w:p>
    <w:p w:rsidR="00EF43F9" w:rsidRPr="00732EBF" w:rsidRDefault="00EF43F9" w:rsidP="003451D9">
      <w:pPr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№39. Удельная величина потребления энергетических ресурсов (электрическая и тепловая энергия, горячая и холодная вода, природный газ)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домах.</w:t>
      </w:r>
    </w:p>
    <w:p w:rsidR="004B5B1D" w:rsidRPr="00732EBF" w:rsidRDefault="00EF43F9" w:rsidP="003451D9">
      <w:pPr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Удельная величина потребления энергетических ресурсо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многоквартирных домах в 2022 году по отношению к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электрической энергии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0,25</w:t>
      </w:r>
      <w:r w:rsidR="004B5B1D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F43F9" w:rsidRPr="00732EBF" w:rsidRDefault="004B5B1D" w:rsidP="004B5B1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Показатели по </w:t>
      </w:r>
      <w:r w:rsidR="00EF43F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энергии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на уровне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43F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холодной воде – у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="00EF43F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EF43F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пр</w:t>
      </w:r>
      <w:r w:rsidR="00CF64B6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иродному газу – увеличилась на</w:t>
      </w:r>
      <w:r w:rsidR="00F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0,43</w:t>
      </w:r>
      <w:r w:rsidR="00EF43F9"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</w:t>
      </w:r>
    </w:p>
    <w:p w:rsidR="00EF43F9" w:rsidRDefault="00EF43F9" w:rsidP="00CF64B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№40. Удельная величина потребления энергетических ресурсов (электрическая и тепловая энергия, горячая и холодная вода, природный газ) муниципальными бюджетными учреждениями.</w:t>
      </w:r>
    </w:p>
    <w:p w:rsidR="0005319A" w:rsidRPr="00EF43F9" w:rsidRDefault="0005319A" w:rsidP="0005319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Удельная величина потребления энергетических ресурсо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многоквартирных домах в 2022 году по отношению к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2,6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95EF3" w:rsidRPr="00732EBF" w:rsidRDefault="00F95EF3" w:rsidP="00F95EF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по тепловой энергии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на уровне 2021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холодной воде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3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иродному газу замечено уменьшение показателей.</w:t>
      </w:r>
    </w:p>
    <w:p w:rsidR="0005319A" w:rsidRDefault="0005319A" w:rsidP="0005319A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371" w:rsidRPr="007121B1" w:rsidRDefault="003C5371" w:rsidP="003C5371">
      <w:pPr>
        <w:spacing w:after="0" w:line="240" w:lineRule="atLeast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21B1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3C5371" w:rsidRPr="007121B1" w:rsidRDefault="003C5371" w:rsidP="003C537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21B1">
        <w:rPr>
          <w:rFonts w:ascii="PT Astra Serif" w:hAnsi="PT Astra Serif" w:cs="Times New Roman"/>
          <w:sz w:val="28"/>
          <w:szCs w:val="28"/>
        </w:rPr>
        <w:t>Деятельность администрации муниципального образования «</w:t>
      </w:r>
      <w:proofErr w:type="spellStart"/>
      <w:r w:rsidRPr="007121B1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7121B1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была и будет направлена на </w:t>
      </w:r>
      <w:proofErr w:type="gramStart"/>
      <w:r w:rsidRPr="007121B1">
        <w:rPr>
          <w:rFonts w:ascii="PT Astra Serif" w:hAnsi="PT Astra Serif" w:cs="Times New Roman"/>
          <w:sz w:val="28"/>
          <w:szCs w:val="28"/>
          <w:lang w:eastAsia="ru-RU"/>
        </w:rPr>
        <w:t>выполнение возложенных на</w:t>
      </w:r>
      <w:proofErr w:type="gramEnd"/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 нее функций</w:t>
      </w:r>
      <w:r w:rsidR="006328A3">
        <w:rPr>
          <w:rFonts w:ascii="PT Astra Serif" w:hAnsi="PT Astra Serif" w:cs="Times New Roman"/>
          <w:sz w:val="28"/>
          <w:szCs w:val="28"/>
          <w:lang w:eastAsia="ru-RU"/>
        </w:rPr>
        <w:t xml:space="preserve"> — </w:t>
      </w:r>
      <w:r w:rsidRPr="007121B1">
        <w:rPr>
          <w:rFonts w:ascii="PT Astra Serif" w:hAnsi="PT Astra Serif" w:cs="Times New Roman"/>
          <w:sz w:val="28"/>
          <w:szCs w:val="28"/>
          <w:lang w:eastAsia="ru-RU"/>
        </w:rPr>
        <w:t xml:space="preserve">на создание условий для обеспечения экономической и социальной стабильности территории, на дальнейшее комплексное социально-экономическое развитие района, на </w:t>
      </w:r>
      <w:r w:rsidRPr="007121B1">
        <w:rPr>
          <w:rFonts w:ascii="PT Astra Serif" w:hAnsi="PT Astra Serif" w:cs="Times New Roman"/>
          <w:sz w:val="28"/>
          <w:szCs w:val="28"/>
        </w:rPr>
        <w:t>улучшение качества жизни населения и создание наиболее благоприятных условий  для  комфортного проживания.</w:t>
      </w:r>
    </w:p>
    <w:p w:rsidR="003C5371" w:rsidRDefault="003C5371" w:rsidP="0005319A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2F" w:rsidRPr="00782109" w:rsidRDefault="0005319A" w:rsidP="0005319A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sectPr w:rsidR="0039732F" w:rsidRPr="00782109" w:rsidSect="00DB441D">
      <w:headerReference w:type="default" r:id="rId9"/>
      <w:pgSz w:w="11906" w:h="16838" w:code="9"/>
      <w:pgMar w:top="1276" w:right="707" w:bottom="851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FC" w:rsidRDefault="007377FC">
      <w:pPr>
        <w:spacing w:after="0" w:line="240" w:lineRule="auto"/>
      </w:pPr>
      <w:r>
        <w:separator/>
      </w:r>
    </w:p>
  </w:endnote>
  <w:endnote w:type="continuationSeparator" w:id="1">
    <w:p w:rsidR="007377FC" w:rsidRDefault="0073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FC" w:rsidRDefault="007377FC">
      <w:pPr>
        <w:spacing w:after="0" w:line="240" w:lineRule="auto"/>
      </w:pPr>
      <w:r>
        <w:separator/>
      </w:r>
    </w:p>
  </w:footnote>
  <w:footnote w:type="continuationSeparator" w:id="1">
    <w:p w:rsidR="007377FC" w:rsidRDefault="0073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076923"/>
      <w:docPartObj>
        <w:docPartGallery w:val="Page Numbers (Top of Page)"/>
        <w:docPartUnique/>
      </w:docPartObj>
    </w:sdtPr>
    <w:sdtContent>
      <w:p w:rsidR="007377FC" w:rsidRDefault="002C3BE5">
        <w:pPr>
          <w:pStyle w:val="a9"/>
          <w:jc w:val="center"/>
        </w:pPr>
        <w:fldSimple w:instr=" PAGE   \* MERGEFORMAT ">
          <w:r w:rsidR="00511687">
            <w:rPr>
              <w:noProof/>
            </w:rPr>
            <w:t>2</w:t>
          </w:r>
        </w:fldSimple>
      </w:p>
    </w:sdtContent>
  </w:sdt>
  <w:p w:rsidR="007377FC" w:rsidRDefault="007377F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76E"/>
    <w:multiLevelType w:val="hybridMultilevel"/>
    <w:tmpl w:val="98D0E6CA"/>
    <w:lvl w:ilvl="0" w:tplc="87DA3576">
      <w:start w:val="1"/>
      <w:numFmt w:val="bullet"/>
      <w:lvlText w:val=""/>
      <w:lvlJc w:val="left"/>
      <w:pPr>
        <w:ind w:left="72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1EAA"/>
    <w:multiLevelType w:val="hybridMultilevel"/>
    <w:tmpl w:val="90E62E66"/>
    <w:lvl w:ilvl="0" w:tplc="877405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6919B9"/>
    <w:multiLevelType w:val="hybridMultilevel"/>
    <w:tmpl w:val="77D6E5D2"/>
    <w:lvl w:ilvl="0" w:tplc="0B68E64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Bookshelf Symbol 7" w:hAnsi="Bookshelf Symbol 7" w:hint="default"/>
      </w:rPr>
    </w:lvl>
    <w:lvl w:ilvl="1" w:tplc="3806942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</w:rPr>
    </w:lvl>
    <w:lvl w:ilvl="2" w:tplc="0B4E15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17962F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Bookshelf Symbol 7" w:hAnsi="Bookshelf Symbol 7" w:hint="default"/>
      </w:rPr>
    </w:lvl>
    <w:lvl w:ilvl="4" w:tplc="26501D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Bookshelf Symbol 7" w:hAnsi="Bookshelf Symbol 7" w:hint="default"/>
      </w:rPr>
    </w:lvl>
    <w:lvl w:ilvl="5" w:tplc="042C8EF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C7C45D3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Bookshelf Symbol 7" w:hAnsi="Bookshelf Symbol 7" w:hint="default"/>
      </w:rPr>
    </w:lvl>
    <w:lvl w:ilvl="7" w:tplc="453CA27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Bookshelf Symbol 7" w:hAnsi="Bookshelf Symbol 7" w:hint="default"/>
      </w:rPr>
    </w:lvl>
    <w:lvl w:ilvl="8" w:tplc="86C6C83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abstractNum w:abstractNumId="3">
    <w:nsid w:val="490B7D64"/>
    <w:multiLevelType w:val="hybridMultilevel"/>
    <w:tmpl w:val="01DE1E3C"/>
    <w:lvl w:ilvl="0" w:tplc="FF3AE8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1A255F3"/>
    <w:multiLevelType w:val="multilevel"/>
    <w:tmpl w:val="2924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93FC2"/>
    <w:multiLevelType w:val="multilevel"/>
    <w:tmpl w:val="871E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23130"/>
    <w:multiLevelType w:val="multilevel"/>
    <w:tmpl w:val="93E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9562F"/>
    <w:multiLevelType w:val="hybridMultilevel"/>
    <w:tmpl w:val="76423336"/>
    <w:lvl w:ilvl="0" w:tplc="2E7497BC">
      <w:start w:val="1"/>
      <w:numFmt w:val="decimal"/>
      <w:lvlText w:val="%1)"/>
      <w:lvlJc w:val="left"/>
      <w:pPr>
        <w:ind w:left="118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CB8"/>
    <w:rsid w:val="000055B0"/>
    <w:rsid w:val="00011374"/>
    <w:rsid w:val="0001678A"/>
    <w:rsid w:val="00030B8E"/>
    <w:rsid w:val="000500D5"/>
    <w:rsid w:val="00052C23"/>
    <w:rsid w:val="0005319A"/>
    <w:rsid w:val="0006769E"/>
    <w:rsid w:val="00072D0F"/>
    <w:rsid w:val="00073BE4"/>
    <w:rsid w:val="000874E2"/>
    <w:rsid w:val="0009618B"/>
    <w:rsid w:val="000B066F"/>
    <w:rsid w:val="000C615A"/>
    <w:rsid w:val="000C65D8"/>
    <w:rsid w:val="000E06FE"/>
    <w:rsid w:val="000E0AFD"/>
    <w:rsid w:val="000F15AF"/>
    <w:rsid w:val="00100471"/>
    <w:rsid w:val="00107A9B"/>
    <w:rsid w:val="001173D8"/>
    <w:rsid w:val="00126E40"/>
    <w:rsid w:val="00135EFB"/>
    <w:rsid w:val="00152EC0"/>
    <w:rsid w:val="001609D7"/>
    <w:rsid w:val="00180711"/>
    <w:rsid w:val="00185044"/>
    <w:rsid w:val="00186684"/>
    <w:rsid w:val="001A2DA0"/>
    <w:rsid w:val="001A6044"/>
    <w:rsid w:val="001C61A6"/>
    <w:rsid w:val="001D6389"/>
    <w:rsid w:val="001D74E2"/>
    <w:rsid w:val="001E6C95"/>
    <w:rsid w:val="001E7903"/>
    <w:rsid w:val="00205CE6"/>
    <w:rsid w:val="002103BE"/>
    <w:rsid w:val="00227146"/>
    <w:rsid w:val="00241F62"/>
    <w:rsid w:val="00261FBE"/>
    <w:rsid w:val="00274A9F"/>
    <w:rsid w:val="00281AFB"/>
    <w:rsid w:val="00285141"/>
    <w:rsid w:val="00293704"/>
    <w:rsid w:val="002A576B"/>
    <w:rsid w:val="002A76B4"/>
    <w:rsid w:val="002B0FB9"/>
    <w:rsid w:val="002B6D7E"/>
    <w:rsid w:val="002C3BE5"/>
    <w:rsid w:val="002D5AB0"/>
    <w:rsid w:val="002F1CB7"/>
    <w:rsid w:val="0031079E"/>
    <w:rsid w:val="00322B92"/>
    <w:rsid w:val="00325E2B"/>
    <w:rsid w:val="003451D9"/>
    <w:rsid w:val="0036223A"/>
    <w:rsid w:val="00376CF0"/>
    <w:rsid w:val="0039431C"/>
    <w:rsid w:val="0039732F"/>
    <w:rsid w:val="00397C03"/>
    <w:rsid w:val="003A2C73"/>
    <w:rsid w:val="003B0E6E"/>
    <w:rsid w:val="003B1179"/>
    <w:rsid w:val="003B3B10"/>
    <w:rsid w:val="003B5112"/>
    <w:rsid w:val="003C146E"/>
    <w:rsid w:val="003C5371"/>
    <w:rsid w:val="003E3ABB"/>
    <w:rsid w:val="003E67C6"/>
    <w:rsid w:val="00406556"/>
    <w:rsid w:val="0041260E"/>
    <w:rsid w:val="00425226"/>
    <w:rsid w:val="00426B4E"/>
    <w:rsid w:val="004355C0"/>
    <w:rsid w:val="00437D7C"/>
    <w:rsid w:val="004657DB"/>
    <w:rsid w:val="0047086F"/>
    <w:rsid w:val="004B5B1D"/>
    <w:rsid w:val="004D06A5"/>
    <w:rsid w:val="004E6519"/>
    <w:rsid w:val="004F3930"/>
    <w:rsid w:val="0050161B"/>
    <w:rsid w:val="00507982"/>
    <w:rsid w:val="00511687"/>
    <w:rsid w:val="00512A8E"/>
    <w:rsid w:val="00516ADE"/>
    <w:rsid w:val="0055630F"/>
    <w:rsid w:val="00575E3B"/>
    <w:rsid w:val="00580760"/>
    <w:rsid w:val="00584FB7"/>
    <w:rsid w:val="005A14E0"/>
    <w:rsid w:val="005C3A11"/>
    <w:rsid w:val="005D7C43"/>
    <w:rsid w:val="005E485E"/>
    <w:rsid w:val="005E7436"/>
    <w:rsid w:val="005F3B15"/>
    <w:rsid w:val="005F5CA8"/>
    <w:rsid w:val="005F7A93"/>
    <w:rsid w:val="006174E3"/>
    <w:rsid w:val="006260B1"/>
    <w:rsid w:val="00630C65"/>
    <w:rsid w:val="006328A3"/>
    <w:rsid w:val="0064459C"/>
    <w:rsid w:val="00646D9F"/>
    <w:rsid w:val="006557FD"/>
    <w:rsid w:val="00696475"/>
    <w:rsid w:val="006C109B"/>
    <w:rsid w:val="006D2CF4"/>
    <w:rsid w:val="006E4573"/>
    <w:rsid w:val="006E4D1D"/>
    <w:rsid w:val="006E5A9B"/>
    <w:rsid w:val="006F470D"/>
    <w:rsid w:val="00722C1C"/>
    <w:rsid w:val="00732EBF"/>
    <w:rsid w:val="007377FC"/>
    <w:rsid w:val="00744E93"/>
    <w:rsid w:val="00746447"/>
    <w:rsid w:val="00750216"/>
    <w:rsid w:val="00750676"/>
    <w:rsid w:val="00755555"/>
    <w:rsid w:val="00761D69"/>
    <w:rsid w:val="00781AD2"/>
    <w:rsid w:val="00781CE6"/>
    <w:rsid w:val="00782109"/>
    <w:rsid w:val="007936A2"/>
    <w:rsid w:val="00797827"/>
    <w:rsid w:val="007A7351"/>
    <w:rsid w:val="007B1B2C"/>
    <w:rsid w:val="007B4AE5"/>
    <w:rsid w:val="007E24D7"/>
    <w:rsid w:val="007E7D1A"/>
    <w:rsid w:val="00815E2C"/>
    <w:rsid w:val="00823129"/>
    <w:rsid w:val="008234B6"/>
    <w:rsid w:val="00834D89"/>
    <w:rsid w:val="00836D71"/>
    <w:rsid w:val="00860FDA"/>
    <w:rsid w:val="00873081"/>
    <w:rsid w:val="00890A4D"/>
    <w:rsid w:val="008A3EA7"/>
    <w:rsid w:val="008A43CD"/>
    <w:rsid w:val="008E60AD"/>
    <w:rsid w:val="008E7AB0"/>
    <w:rsid w:val="008F3A15"/>
    <w:rsid w:val="008F7EA9"/>
    <w:rsid w:val="00906A7E"/>
    <w:rsid w:val="00930417"/>
    <w:rsid w:val="00936CCA"/>
    <w:rsid w:val="00954B29"/>
    <w:rsid w:val="009A31AA"/>
    <w:rsid w:val="009A5716"/>
    <w:rsid w:val="009B124E"/>
    <w:rsid w:val="009B1E51"/>
    <w:rsid w:val="009B2F13"/>
    <w:rsid w:val="009C1A32"/>
    <w:rsid w:val="009E2956"/>
    <w:rsid w:val="009E3B69"/>
    <w:rsid w:val="00A01573"/>
    <w:rsid w:val="00A05189"/>
    <w:rsid w:val="00A07247"/>
    <w:rsid w:val="00A15BB9"/>
    <w:rsid w:val="00A16F91"/>
    <w:rsid w:val="00A17AAE"/>
    <w:rsid w:val="00A4371D"/>
    <w:rsid w:val="00A47ACA"/>
    <w:rsid w:val="00A52A1D"/>
    <w:rsid w:val="00A53FFF"/>
    <w:rsid w:val="00A603F3"/>
    <w:rsid w:val="00A6088C"/>
    <w:rsid w:val="00A63992"/>
    <w:rsid w:val="00A6467A"/>
    <w:rsid w:val="00A648AE"/>
    <w:rsid w:val="00A72EB5"/>
    <w:rsid w:val="00A8452D"/>
    <w:rsid w:val="00A97C9C"/>
    <w:rsid w:val="00AA0332"/>
    <w:rsid w:val="00AA708E"/>
    <w:rsid w:val="00AB07C9"/>
    <w:rsid w:val="00AD6EF6"/>
    <w:rsid w:val="00AD6F59"/>
    <w:rsid w:val="00AE05E4"/>
    <w:rsid w:val="00AE6EE6"/>
    <w:rsid w:val="00AF3A7A"/>
    <w:rsid w:val="00B11C50"/>
    <w:rsid w:val="00B13CB8"/>
    <w:rsid w:val="00B2011E"/>
    <w:rsid w:val="00B348EF"/>
    <w:rsid w:val="00B351B0"/>
    <w:rsid w:val="00B44E55"/>
    <w:rsid w:val="00B755F0"/>
    <w:rsid w:val="00B925F9"/>
    <w:rsid w:val="00BA2217"/>
    <w:rsid w:val="00BA47E6"/>
    <w:rsid w:val="00BA521A"/>
    <w:rsid w:val="00BA6103"/>
    <w:rsid w:val="00BA7D6D"/>
    <w:rsid w:val="00BB0919"/>
    <w:rsid w:val="00BB0D3D"/>
    <w:rsid w:val="00BC2795"/>
    <w:rsid w:val="00BC5239"/>
    <w:rsid w:val="00BD2A7D"/>
    <w:rsid w:val="00BD565B"/>
    <w:rsid w:val="00BE285B"/>
    <w:rsid w:val="00BE2D04"/>
    <w:rsid w:val="00BE3013"/>
    <w:rsid w:val="00C14CF1"/>
    <w:rsid w:val="00C213AB"/>
    <w:rsid w:val="00C359E6"/>
    <w:rsid w:val="00C40973"/>
    <w:rsid w:val="00C41DDC"/>
    <w:rsid w:val="00C5126D"/>
    <w:rsid w:val="00C707C1"/>
    <w:rsid w:val="00C76A72"/>
    <w:rsid w:val="00C803C8"/>
    <w:rsid w:val="00CA1DCE"/>
    <w:rsid w:val="00CB0C45"/>
    <w:rsid w:val="00CB44F1"/>
    <w:rsid w:val="00CB4EC1"/>
    <w:rsid w:val="00CC641C"/>
    <w:rsid w:val="00CF64B6"/>
    <w:rsid w:val="00D115ED"/>
    <w:rsid w:val="00D300E4"/>
    <w:rsid w:val="00D36BE6"/>
    <w:rsid w:val="00D57DCB"/>
    <w:rsid w:val="00D677FF"/>
    <w:rsid w:val="00D72DCD"/>
    <w:rsid w:val="00D750C2"/>
    <w:rsid w:val="00D75FD8"/>
    <w:rsid w:val="00D9420D"/>
    <w:rsid w:val="00DA2351"/>
    <w:rsid w:val="00DB441D"/>
    <w:rsid w:val="00DC482F"/>
    <w:rsid w:val="00DF4606"/>
    <w:rsid w:val="00E00C88"/>
    <w:rsid w:val="00E32CE4"/>
    <w:rsid w:val="00E42B7D"/>
    <w:rsid w:val="00E60485"/>
    <w:rsid w:val="00E87E17"/>
    <w:rsid w:val="00E96BEA"/>
    <w:rsid w:val="00EA0D4C"/>
    <w:rsid w:val="00EA2AE2"/>
    <w:rsid w:val="00EB5B8C"/>
    <w:rsid w:val="00EC7F8A"/>
    <w:rsid w:val="00EE508A"/>
    <w:rsid w:val="00EE7A4D"/>
    <w:rsid w:val="00EF43F9"/>
    <w:rsid w:val="00F45F96"/>
    <w:rsid w:val="00F47AF0"/>
    <w:rsid w:val="00F611A1"/>
    <w:rsid w:val="00F6410A"/>
    <w:rsid w:val="00F66698"/>
    <w:rsid w:val="00F816D4"/>
    <w:rsid w:val="00F82ABA"/>
    <w:rsid w:val="00F91960"/>
    <w:rsid w:val="00F95EF3"/>
    <w:rsid w:val="00FB0657"/>
    <w:rsid w:val="00FD3DEE"/>
    <w:rsid w:val="00FD6BE2"/>
    <w:rsid w:val="00FE2D2B"/>
    <w:rsid w:val="00FE6847"/>
    <w:rsid w:val="00FF183F"/>
    <w:rsid w:val="00FF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76"/>
  </w:style>
  <w:style w:type="paragraph" w:styleId="1">
    <w:name w:val="heading 1"/>
    <w:basedOn w:val="a"/>
    <w:next w:val="a"/>
    <w:link w:val="10"/>
    <w:qFormat/>
    <w:rsid w:val="00B13CB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CB8"/>
    <w:rPr>
      <w:rFonts w:ascii="Arial" w:eastAsia="Times New Roman" w:hAnsi="Arial" w:cs="Arial"/>
      <w:b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3CB8"/>
  </w:style>
  <w:style w:type="character" w:styleId="a3">
    <w:name w:val="Hyperlink"/>
    <w:uiPriority w:val="99"/>
    <w:rsid w:val="00B13CB8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B13CB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C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13C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13CB8"/>
    <w:pPr>
      <w:spacing w:after="0" w:line="240" w:lineRule="auto"/>
      <w:ind w:hanging="851"/>
      <w:jc w:val="center"/>
    </w:pPr>
    <w:rPr>
      <w:rFonts w:ascii="Arial" w:eastAsia="Times New Roman" w:hAnsi="Arial" w:cs="Arial"/>
      <w:b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B13CB8"/>
    <w:rPr>
      <w:rFonts w:ascii="Arial" w:eastAsia="Times New Roman" w:hAnsi="Arial" w:cs="Arial"/>
      <w:b/>
      <w:sz w:val="36"/>
      <w:szCs w:val="36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"/>
    <w:basedOn w:val="a"/>
    <w:rsid w:val="00B13C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13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13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3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link w:val="ae"/>
    <w:uiPriority w:val="99"/>
    <w:qFormat/>
    <w:rsid w:val="00A5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A52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CC46-D054-4214-A218-F0564EDC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"Мамоновский ГО"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Столетов</cp:lastModifiedBy>
  <cp:revision>17</cp:revision>
  <cp:lastPrinted>2023-06-28T05:54:00Z</cp:lastPrinted>
  <dcterms:created xsi:type="dcterms:W3CDTF">2019-05-14T13:13:00Z</dcterms:created>
  <dcterms:modified xsi:type="dcterms:W3CDTF">2023-06-28T05:55:00Z</dcterms:modified>
</cp:coreProperties>
</file>