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Pr="00D013FB" w:rsidRDefault="00D013FB" w:rsidP="00EA78C3">
      <w:pPr>
        <w:pStyle w:val="ConsPlusNonformat"/>
        <w:rPr>
          <w:rFonts w:ascii="PT Astra Serif" w:hAnsi="PT Astra Serif"/>
        </w:rPr>
      </w:pPr>
      <w:r>
        <w:t xml:space="preserve">                                                                                    </w:t>
      </w:r>
      <w:r w:rsidR="00EA78C3">
        <w:rPr>
          <w:rFonts w:ascii="PT Astra Serif" w:hAnsi="PT Astra Serif"/>
          <w:sz w:val="28"/>
          <w:szCs w:val="28"/>
        </w:rPr>
        <w:t xml:space="preserve"> </w:t>
      </w:r>
      <w:r w:rsidRPr="00D2296C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</w:t>
      </w:r>
      <w:r w:rsidR="00333D31">
        <w:rPr>
          <w:rFonts w:ascii="PT Astra Serif" w:hAnsi="PT Astra Serif"/>
        </w:rPr>
        <w:t xml:space="preserve"> </w:t>
      </w:r>
    </w:p>
    <w:p w:rsidR="00D013FB" w:rsidRPr="00D013FB" w:rsidRDefault="00171AA8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>по устранению недостатков, выявленных в ходе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 xml:space="preserve">независимой оценки </w:t>
      </w:r>
      <w:proofErr w:type="gramStart"/>
      <w:r w:rsidRPr="00D013FB">
        <w:rPr>
          <w:rFonts w:ascii="PT Astra Serif" w:hAnsi="PT Astra Serif"/>
          <w:b/>
          <w:sz w:val="28"/>
          <w:szCs w:val="28"/>
        </w:rPr>
        <w:t>качества условий оказания услуг</w:t>
      </w:r>
      <w:proofErr w:type="gramEnd"/>
      <w:r w:rsidR="000E0D97">
        <w:rPr>
          <w:rFonts w:ascii="PT Astra Serif" w:hAnsi="PT Astra Serif"/>
          <w:b/>
          <w:sz w:val="28"/>
          <w:szCs w:val="28"/>
        </w:rPr>
        <w:t xml:space="preserve"> в 2023 году</w:t>
      </w:r>
      <w:r w:rsidR="00E13F5E">
        <w:rPr>
          <w:rFonts w:ascii="PT Astra Serif" w:hAnsi="PT Astra Serif"/>
          <w:b/>
          <w:sz w:val="28"/>
          <w:szCs w:val="28"/>
        </w:rPr>
        <w:t>,</w:t>
      </w:r>
      <w:r w:rsidRPr="00D013FB">
        <w:rPr>
          <w:rFonts w:ascii="PT Astra Serif" w:hAnsi="PT Astra Serif"/>
          <w:b/>
          <w:sz w:val="28"/>
          <w:szCs w:val="28"/>
        </w:rPr>
        <w:t xml:space="preserve"> </w:t>
      </w:r>
    </w:p>
    <w:p w:rsidR="00FA13F8" w:rsidRPr="00A3626B" w:rsidRDefault="00FA13F8" w:rsidP="00FA13F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Муниципального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обще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образовательного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 учреждения  </w:t>
      </w:r>
      <w:r w:rsidR="00B351BE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Ермоловско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й средней школы имени П.Д. Дорогойченко</w:t>
      </w:r>
    </w:p>
    <w:p w:rsidR="00D013FB" w:rsidRPr="00A3626B" w:rsidRDefault="00263E57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>а</w:t>
      </w:r>
      <w:r w:rsidR="00171AA8">
        <w:rPr>
          <w:rFonts w:ascii="PT Astra Serif" w:hAnsi="PT Astra Serif"/>
          <w:b/>
          <w:sz w:val="28"/>
          <w:szCs w:val="28"/>
          <w:u w:val="single"/>
        </w:rPr>
        <w:t xml:space="preserve"> 2024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</w:p>
    <w:p w:rsidR="00D013FB" w:rsidRPr="00D013FB" w:rsidRDefault="00D013FB" w:rsidP="00D013FB">
      <w:pPr>
        <w:pStyle w:val="ConsPlusNormal"/>
        <w:jc w:val="both"/>
        <w:rPr>
          <w:rFonts w:ascii="PT Astra Serif" w:hAnsi="PT Astra Serif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42"/>
        <w:gridCol w:w="1559"/>
        <w:gridCol w:w="1843"/>
        <w:gridCol w:w="2126"/>
        <w:gridCol w:w="1701"/>
      </w:tblGrid>
      <w:tr w:rsidR="00D013FB" w:rsidRPr="00C967A4" w:rsidTr="0002058D">
        <w:tc>
          <w:tcPr>
            <w:tcW w:w="4031" w:type="dxa"/>
            <w:vMerge w:val="restart"/>
            <w:tcBorders>
              <w:lef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C967A4">
              <w:rPr>
                <w:rFonts w:ascii="PT Astra Serif" w:hAnsi="PT Astra Serif"/>
                <w:b/>
                <w:szCs w:val="22"/>
              </w:rPr>
              <w:t>оценки качества условий оказания услуг</w:t>
            </w:r>
            <w:proofErr w:type="gramEnd"/>
            <w:r w:rsidRPr="00C967A4">
              <w:rPr>
                <w:rFonts w:ascii="PT Astra Serif" w:hAnsi="PT Astra Serif"/>
                <w:b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gridSpan w:val="2"/>
            <w:vMerge w:val="restart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67A4">
              <w:rPr>
                <w:rFonts w:ascii="PT Astra Serif" w:hAnsi="PT Astra Serif"/>
                <w:b/>
                <w:szCs w:val="22"/>
              </w:rPr>
              <w:t>оценки качества условий оказания услуг</w:t>
            </w:r>
            <w:proofErr w:type="gramEnd"/>
            <w:r w:rsidRPr="00C967A4">
              <w:rPr>
                <w:rFonts w:ascii="PT Astra Serif" w:hAnsi="PT Astra Serif"/>
                <w:b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02058D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Ответственный исполнитель </w:t>
            </w:r>
          </w:p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bookmarkStart w:id="0" w:name="P220"/>
            <w:bookmarkEnd w:id="0"/>
            <w:r w:rsidRPr="00C967A4">
              <w:rPr>
                <w:rFonts w:ascii="PT Astra Serif" w:hAnsi="PT Astra Serif"/>
                <w:b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967A4">
                <w:rPr>
                  <w:rFonts w:ascii="PT Astra Serif" w:hAnsi="PT Astra Serif"/>
                  <w:b/>
                  <w:szCs w:val="22"/>
                </w:rPr>
                <w:t>&lt;2&gt;</w:t>
              </w:r>
            </w:hyperlink>
          </w:p>
        </w:tc>
      </w:tr>
      <w:tr w:rsidR="00D013FB" w:rsidRPr="00C967A4" w:rsidTr="0002058D">
        <w:tc>
          <w:tcPr>
            <w:tcW w:w="4031" w:type="dxa"/>
            <w:vMerge/>
            <w:tcBorders>
              <w:left w:val="nil"/>
            </w:tcBorders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gridSpan w:val="2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фактический срок реализации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I. Открытость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и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доступность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 информации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об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организации </w:t>
            </w:r>
          </w:p>
        </w:tc>
      </w:tr>
      <w:tr w:rsidR="00D013FB" w:rsidRPr="00C967A4" w:rsidTr="000B7760">
        <w:tc>
          <w:tcPr>
            <w:tcW w:w="4031" w:type="dxa"/>
            <w:tcBorders>
              <w:left w:val="nil"/>
            </w:tcBorders>
          </w:tcPr>
          <w:p w:rsidR="00212954" w:rsidRDefault="00212954" w:rsidP="00212954">
            <w:pPr>
              <w:spacing w:after="0" w:line="240" w:lineRule="auto"/>
              <w:ind w:right="79"/>
              <w:jc w:val="both"/>
              <w:rPr>
                <w:rFonts w:ascii="PT Astra Serif" w:hAnsi="PT Astra Serif" w:cs="Calibri"/>
              </w:rPr>
            </w:pPr>
            <w:proofErr w:type="gramStart"/>
            <w:r>
              <w:rPr>
                <w:rFonts w:ascii="PT Astra Serif" w:hAnsi="PT Astra Serif" w:cs="Calibri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PT Astra Serif" w:hAnsi="PT Astra Serif" w:cs="Calibri"/>
              </w:rPr>
              <w:t xml:space="preserve"> Отсутствует следующая информация: о практике, предусмотренной соответствующей образовательной программой,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документа, об общей </w:t>
            </w:r>
            <w:proofErr w:type="gramStart"/>
            <w:r>
              <w:rPr>
                <w:rFonts w:ascii="PT Astra Serif" w:hAnsi="PT Astra Serif" w:cs="Calibri"/>
              </w:rPr>
              <w:t>численности</w:t>
            </w:r>
            <w:proofErr w:type="gramEnd"/>
            <w:r>
              <w:rPr>
                <w:rFonts w:ascii="PT Astra Serif" w:hAnsi="PT Astra Serif" w:cs="Calibri"/>
              </w:rPr>
              <w:t xml:space="preserve"> обучающихся, о численности обучающихся за счет бюджетных </w:t>
            </w:r>
            <w:r>
              <w:rPr>
                <w:rFonts w:ascii="PT Astra Serif" w:hAnsi="PT Astra Serif" w:cs="Calibri"/>
              </w:rPr>
              <w:lastRenderedPageBreak/>
              <w:t xml:space="preserve">ассигнований федерального бюджета, бюджетов субъектов российской федерации, местных бюджетов и по договорам об образовании, заключаемых </w:t>
            </w:r>
            <w:proofErr w:type="gramStart"/>
            <w:r>
              <w:rPr>
                <w:rFonts w:ascii="PT Astra Serif" w:hAnsi="PT Astra Serif" w:cs="Calibri"/>
              </w:rPr>
              <w:t>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гражданами), информация об условиях охраны здоровья обучающихся, в том числе инвалидов и лиц с ограниченными возможностями здоровья, о специальных условиях питания, о специальных условиях охраны здоровья, информация об объеме образовательной деятельности, финансовое обеспечение которой осуществляется за счет бюджетных ассигнований</w:t>
            </w:r>
            <w:proofErr w:type="gramEnd"/>
            <w:r>
              <w:rPr>
                <w:rFonts w:ascii="PT Astra Serif" w:hAnsi="PT Astra Serif" w:cs="Calibri"/>
              </w:rPr>
              <w:t xml:space="preserve"> </w:t>
            </w:r>
            <w:proofErr w:type="gramStart"/>
            <w:r>
              <w:rPr>
                <w:rFonts w:ascii="PT Astra Serif" w:hAnsi="PT Astra Serif" w:cs="Calibri"/>
              </w:rPr>
              <w:t>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 финансовых и материальных средств по итогам финансового года, информация о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  <w:r>
              <w:rPr>
                <w:rFonts w:ascii="PT Astra Serif" w:hAnsi="PT Astra Serif" w:cs="Calibri"/>
              </w:rPr>
              <w:t xml:space="preserve"> </w:t>
            </w:r>
            <w:proofErr w:type="gramStart"/>
            <w:r>
              <w:rPr>
                <w:rFonts w:ascii="PT Astra Serif" w:hAnsi="PT Astra Serif" w:cs="Calibri"/>
              </w:rPr>
              <w:t xml:space="preserve">2) </w:t>
            </w:r>
            <w:r>
              <w:rPr>
                <w:rFonts w:ascii="PT Astra Serif" w:hAnsi="PT Astra Serif" w:cs="Calibri"/>
              </w:rPr>
              <w:lastRenderedPageBreak/>
              <w:t>Отсутствуют дистанционные способы обратной связи и взаимодействия с получателями услуг: раздел официального сайта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  <w:proofErr w:type="gramEnd"/>
          </w:p>
          <w:p w:rsidR="00D013FB" w:rsidRPr="00024F04" w:rsidRDefault="00D013FB" w:rsidP="0021295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013FB" w:rsidRPr="00024F04" w:rsidRDefault="00212954" w:rsidP="00212954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</w:rPr>
              <w:lastRenderedPageBreak/>
              <w:t xml:space="preserve">Размещение на официальном сайте образовательной организации  информации, установленной нормативными правовыми актами:  о практике, предусмотренной соответствующей образовательной программой,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документа, об общей </w:t>
            </w:r>
            <w:proofErr w:type="gramStart"/>
            <w:r>
              <w:rPr>
                <w:rFonts w:ascii="PT Astra Serif" w:hAnsi="PT Astra Serif" w:cs="Calibri"/>
              </w:rPr>
              <w:t>численности</w:t>
            </w:r>
            <w:proofErr w:type="gramEnd"/>
            <w:r>
              <w:rPr>
                <w:rFonts w:ascii="PT Astra Serif" w:hAnsi="PT Astra Serif" w:cs="Calibri"/>
              </w:rPr>
              <w:t xml:space="preserve"> обучающихся, о численности обучающихся за счет бюджетных ассигнований федерального бюджета, бюджетов субъектов российской федерации, </w:t>
            </w:r>
            <w:proofErr w:type="gramStart"/>
            <w:r>
              <w:rPr>
                <w:rFonts w:ascii="PT Astra Serif" w:hAnsi="PT Astra Serif" w:cs="Calibri"/>
              </w:rPr>
              <w:t xml:space="preserve">местных </w:t>
            </w:r>
            <w:r>
              <w:rPr>
                <w:rFonts w:ascii="PT Astra Serif" w:hAnsi="PT Astra Serif" w:cs="Calibri"/>
              </w:rPr>
              <w:lastRenderedPageBreak/>
              <w:t>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гражданами), информация об условиях охраны здоровья обучающихся, в том числе инвалидов и лиц с ограниченными возможностями здоровья, о специальных условиях питания, о специальных условиях охраны здоровья, информация об объеме образовательной деятельности</w:t>
            </w:r>
            <w:proofErr w:type="gramEnd"/>
            <w:r>
              <w:rPr>
                <w:rFonts w:ascii="PT Astra Serif" w:hAnsi="PT Astra Serif" w:cs="Calibri"/>
              </w:rPr>
              <w:t xml:space="preserve">, финансовое </w:t>
            </w:r>
            <w:proofErr w:type="gramStart"/>
            <w:r>
              <w:rPr>
                <w:rFonts w:ascii="PT Astra Serif" w:hAnsi="PT Astra Serif" w:cs="Calibri"/>
              </w:rPr>
              <w:t>обеспечение</w:t>
            </w:r>
            <w:proofErr w:type="gramEnd"/>
            <w:r>
              <w:rPr>
                <w:rFonts w:ascii="PT Astra Serif" w:hAnsi="PT Astra Serif" w:cs="Calibri"/>
              </w:rPr>
              <w:t xml:space="preserve">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 финансовых и материальных средств по итогам финансового года, информация о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</w:t>
            </w:r>
            <w:r>
              <w:rPr>
                <w:rFonts w:ascii="PT Astra Serif" w:hAnsi="PT Astra Serif" w:cs="Calibri"/>
              </w:rPr>
              <w:lastRenderedPageBreak/>
              <w:t xml:space="preserve">организации. </w:t>
            </w:r>
            <w:proofErr w:type="gramStart"/>
            <w:r>
              <w:rPr>
                <w:rFonts w:ascii="PT Astra Serif" w:hAnsi="PT Astra Serif" w:cs="Calibri"/>
              </w:rPr>
              <w:t>Обеспечить дистанционные способы обратной связи и взаимодействия с получателями услуг: раздел официального сайта «Часто задаваемые вопросы»;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1559" w:type="dxa"/>
          </w:tcPr>
          <w:p w:rsidR="00D013FB" w:rsidRPr="00C967A4" w:rsidRDefault="00100405" w:rsidP="0010040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31.03.2024</w:t>
            </w:r>
          </w:p>
        </w:tc>
        <w:tc>
          <w:tcPr>
            <w:tcW w:w="1843" w:type="dxa"/>
          </w:tcPr>
          <w:p w:rsidR="00660869" w:rsidRPr="00100405" w:rsidRDefault="004B01D3" w:rsidP="00212954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 Истягина Людмила Владимировна директор</w:t>
            </w:r>
          </w:p>
          <w:p w:rsidR="00D013FB" w:rsidRPr="00C967A4" w:rsidRDefault="00D013FB" w:rsidP="0010040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F97E9D" w:rsidP="00CF0127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>Н</w:t>
            </w:r>
            <w:r w:rsidR="000B7760">
              <w:rPr>
                <w:rFonts w:ascii="PT Astra Serif" w:hAnsi="PT Astra Serif"/>
              </w:rPr>
              <w:t xml:space="preserve">а официальном сайте </w:t>
            </w:r>
            <w:r>
              <w:rPr>
                <w:rFonts w:ascii="PT Astra Serif" w:hAnsi="PT Astra Serif"/>
              </w:rPr>
              <w:t xml:space="preserve">размещена  </w:t>
            </w:r>
            <w:r w:rsidR="000B7760">
              <w:rPr>
                <w:rFonts w:ascii="PT Astra Serif" w:hAnsi="PT Astra Serif"/>
              </w:rPr>
              <w:t xml:space="preserve">  информаци</w:t>
            </w:r>
            <w:r>
              <w:rPr>
                <w:rFonts w:ascii="PT Astra Serif" w:hAnsi="PT Astra Serif"/>
              </w:rPr>
              <w:t>я</w:t>
            </w:r>
            <w:r w:rsidR="000B7760">
              <w:rPr>
                <w:rFonts w:ascii="PT Astra Serif" w:hAnsi="PT Astra Serif"/>
              </w:rPr>
              <w:t xml:space="preserve">:  о практике, предусмотренной соответствующей образовательной программой, об аннотации к рабочим программам дисциплин (по каждому учебному предмету, курсу, дисциплине (модулю), практики, в составе образовательной программы) с </w:t>
            </w:r>
            <w:r w:rsidR="000B7760">
              <w:rPr>
                <w:rFonts w:ascii="PT Astra Serif" w:hAnsi="PT Astra Serif"/>
              </w:rPr>
              <w:lastRenderedPageBreak/>
              <w:t xml:space="preserve">приложением рабочих программ в виде электронного документа, об общей </w:t>
            </w:r>
            <w:proofErr w:type="gramStart"/>
            <w:r w:rsidR="000B7760">
              <w:rPr>
                <w:rFonts w:ascii="PT Astra Serif" w:hAnsi="PT Astra Serif"/>
              </w:rPr>
              <w:t>численности</w:t>
            </w:r>
            <w:proofErr w:type="gramEnd"/>
            <w:r w:rsidR="000B7760">
              <w:rPr>
                <w:rFonts w:ascii="PT Astra Serif" w:hAnsi="PT Astra Serif"/>
              </w:rPr>
              <w:t xml:space="preserve"> обучающихся, о численности обучающихся за счет бюдж</w:t>
            </w:r>
            <w:r w:rsidR="00CF0127">
              <w:rPr>
                <w:rFonts w:ascii="PT Astra Serif" w:hAnsi="PT Astra Serif"/>
              </w:rPr>
              <w:t>етных ассигнований федерального</w:t>
            </w:r>
            <w:r w:rsidR="000B7760">
              <w:rPr>
                <w:rFonts w:ascii="PT Astra Serif" w:hAnsi="PT Astra Serif"/>
              </w:rPr>
              <w:t>,</w:t>
            </w:r>
            <w:r w:rsidR="00CF0127">
              <w:rPr>
                <w:rFonts w:ascii="PT Astra Serif" w:hAnsi="PT Astra Serif"/>
              </w:rPr>
              <w:t xml:space="preserve"> областного,</w:t>
            </w:r>
            <w:r w:rsidR="000B7760">
              <w:rPr>
                <w:rFonts w:ascii="PT Astra Serif" w:hAnsi="PT Astra Serif"/>
              </w:rPr>
              <w:t xml:space="preserve"> местн</w:t>
            </w:r>
            <w:r w:rsidR="00CF0127">
              <w:rPr>
                <w:rFonts w:ascii="PT Astra Serif" w:hAnsi="PT Astra Serif"/>
              </w:rPr>
              <w:t xml:space="preserve">ого </w:t>
            </w:r>
            <w:r w:rsidR="000B7760">
              <w:rPr>
                <w:rFonts w:ascii="PT Astra Serif" w:hAnsi="PT Astra Serif"/>
              </w:rPr>
              <w:t xml:space="preserve"> бюджетов и по договорам об образовании, заключаемых при приеме </w:t>
            </w:r>
            <w:proofErr w:type="gramStart"/>
            <w:r w:rsidR="000B7760">
              <w:rPr>
                <w:rFonts w:ascii="PT Astra Serif" w:hAnsi="PT Astra Serif"/>
              </w:rPr>
              <w:t xml:space="preserve">на обучение за счет средств физических и (или) юридических лиц (в том числе с выделением численности обучающихся, являющихся иностранными гражданами), информация об условиях охраны здоровья обучающихся, в том числе инвалидов и лиц с ограниченными возможностями здоровья, о специальных </w:t>
            </w:r>
            <w:r w:rsidR="000B7760">
              <w:rPr>
                <w:rFonts w:ascii="PT Astra Serif" w:hAnsi="PT Astra Serif"/>
              </w:rPr>
              <w:lastRenderedPageBreak/>
              <w:t>условиях питания, о специальных условиях охраны здоровья, информация об объеме образовательной деятельности, финансовое обеспечение которой осуществляется за счет бюдж</w:t>
            </w:r>
            <w:r w:rsidR="00CF0127">
              <w:rPr>
                <w:rFonts w:ascii="PT Astra Serif" w:hAnsi="PT Astra Serif"/>
              </w:rPr>
              <w:t>етных ассигнований федерального, областного</w:t>
            </w:r>
            <w:proofErr w:type="gramEnd"/>
            <w:r w:rsidR="00CF0127">
              <w:rPr>
                <w:rFonts w:ascii="PT Astra Serif" w:hAnsi="PT Astra Serif"/>
              </w:rPr>
              <w:t>,</w:t>
            </w:r>
            <w:r w:rsidR="000B7760">
              <w:rPr>
                <w:rFonts w:ascii="PT Astra Serif" w:hAnsi="PT Astra Serif"/>
              </w:rPr>
              <w:t xml:space="preserve"> местн</w:t>
            </w:r>
            <w:r w:rsidR="00CF0127">
              <w:rPr>
                <w:rFonts w:ascii="PT Astra Serif" w:hAnsi="PT Astra Serif"/>
              </w:rPr>
              <w:t>ого</w:t>
            </w:r>
            <w:r w:rsidR="000B7760">
              <w:rPr>
                <w:rFonts w:ascii="PT Astra Serif" w:hAnsi="PT Astra Serif"/>
              </w:rPr>
              <w:t xml:space="preserve"> бюджетов, по договорам об образовании за счет средств физических и (или) юридических лиц, информация о поступлении </w:t>
            </w:r>
            <w:r w:rsidR="00CF0127">
              <w:rPr>
                <w:rFonts w:ascii="PT Astra Serif" w:hAnsi="PT Astra Serif"/>
              </w:rPr>
              <w:t xml:space="preserve"> и</w:t>
            </w:r>
            <w:r w:rsidR="000B7760">
              <w:rPr>
                <w:rFonts w:ascii="PT Astra Serif" w:hAnsi="PT Astra Serif"/>
              </w:rPr>
              <w:t xml:space="preserve"> расходовании финансовых и материальных средств по итогам финансового года, копия плана финансово-хозяйственной деятельнос</w:t>
            </w:r>
            <w:r w:rsidR="00CF0127">
              <w:rPr>
                <w:rFonts w:ascii="PT Astra Serif" w:hAnsi="PT Astra Serif"/>
              </w:rPr>
              <w:t>ти образовательной организации</w:t>
            </w:r>
            <w:r w:rsidR="000B7760">
              <w:rPr>
                <w:rFonts w:ascii="PT Astra Serif" w:hAnsi="PT Astra Serif"/>
              </w:rPr>
              <w:t>, бюджетн</w:t>
            </w:r>
            <w:r w:rsidR="00CF0127">
              <w:rPr>
                <w:rFonts w:ascii="PT Astra Serif" w:hAnsi="PT Astra Serif"/>
              </w:rPr>
              <w:t>ая</w:t>
            </w:r>
            <w:r w:rsidR="000B7760">
              <w:rPr>
                <w:rFonts w:ascii="PT Astra Serif" w:hAnsi="PT Astra Serif"/>
              </w:rPr>
              <w:t xml:space="preserve"> смет</w:t>
            </w:r>
            <w:r w:rsidR="00CF0127">
              <w:rPr>
                <w:rFonts w:ascii="PT Astra Serif" w:hAnsi="PT Astra Serif"/>
              </w:rPr>
              <w:t>а</w:t>
            </w:r>
            <w:r w:rsidR="000B7760">
              <w:rPr>
                <w:rFonts w:ascii="PT Astra Serif" w:hAnsi="PT Astra Serif"/>
              </w:rPr>
              <w:t xml:space="preserve"> образовательной организации. </w:t>
            </w:r>
            <w:proofErr w:type="gramStart"/>
            <w:r w:rsidR="000B7760">
              <w:rPr>
                <w:rFonts w:ascii="PT Astra Serif" w:hAnsi="PT Astra Serif"/>
              </w:rPr>
              <w:t>Обеспеч</w:t>
            </w:r>
            <w:r w:rsidR="00CF0127">
              <w:rPr>
                <w:rFonts w:ascii="PT Astra Serif" w:hAnsi="PT Astra Serif"/>
              </w:rPr>
              <w:t>ены</w:t>
            </w:r>
            <w:r w:rsidR="000B7760">
              <w:rPr>
                <w:rFonts w:ascii="PT Astra Serif" w:hAnsi="PT Astra Serif"/>
              </w:rPr>
              <w:t xml:space="preserve"> </w:t>
            </w:r>
            <w:r w:rsidR="000B7760">
              <w:rPr>
                <w:rFonts w:ascii="PT Astra Serif" w:hAnsi="PT Astra Serif"/>
              </w:rPr>
              <w:lastRenderedPageBreak/>
              <w:t xml:space="preserve">дистанционные способы обратной связи и взаимодействия с получателями услуг: </w:t>
            </w:r>
            <w:r w:rsidR="00CF0127">
              <w:rPr>
                <w:rFonts w:ascii="PT Astra Serif" w:hAnsi="PT Astra Serif"/>
              </w:rPr>
              <w:t xml:space="preserve">функционирует </w:t>
            </w:r>
            <w:r w:rsidR="000B7760">
              <w:rPr>
                <w:rFonts w:ascii="PT Astra Serif" w:hAnsi="PT Astra Serif"/>
              </w:rPr>
              <w:t xml:space="preserve"> </w:t>
            </w:r>
            <w:r w:rsidR="00CF0127">
              <w:rPr>
                <w:rFonts w:ascii="PT Astra Serif" w:hAnsi="PT Astra Serif"/>
              </w:rPr>
              <w:t xml:space="preserve"> раздел </w:t>
            </w:r>
            <w:r w:rsidR="000B7760">
              <w:rPr>
                <w:rFonts w:ascii="PT Astra Serif" w:hAnsi="PT Astra Serif"/>
              </w:rPr>
              <w:t>сайта «Часто задаваемые вопросы»; обеспеч</w:t>
            </w:r>
            <w:r w:rsidR="00CF0127">
              <w:rPr>
                <w:rFonts w:ascii="PT Astra Serif" w:hAnsi="PT Astra Serif"/>
              </w:rPr>
              <w:t>ена</w:t>
            </w:r>
            <w:r w:rsidR="000B7760">
              <w:rPr>
                <w:rFonts w:ascii="PT Astra Serif" w:hAnsi="PT Astra Serif"/>
              </w:rPr>
              <w:t xml:space="preserve"> техническ</w:t>
            </w:r>
            <w:r w:rsidR="00CF0127">
              <w:rPr>
                <w:rFonts w:ascii="PT Astra Serif" w:hAnsi="PT Astra Serif"/>
              </w:rPr>
              <w:t>ая</w:t>
            </w:r>
            <w:r w:rsidR="000B7760">
              <w:rPr>
                <w:rFonts w:ascii="PT Astra Serif" w:hAnsi="PT Astra Serif"/>
              </w:rPr>
              <w:t xml:space="preserve"> возможность выражения получателями образовательных услуг мнения о качестве оказания услуг (на</w:t>
            </w:r>
            <w:r w:rsidR="00CF0127">
              <w:rPr>
                <w:rFonts w:ascii="PT Astra Serif" w:hAnsi="PT Astra Serif"/>
              </w:rPr>
              <w:t>личие анкеты для опроса граждан</w:t>
            </w:r>
            <w:r w:rsidR="000B7760">
              <w:rPr>
                <w:rFonts w:ascii="PT Astra Serif" w:hAnsi="PT Astra Serif"/>
              </w:rPr>
              <w:t>).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0B7760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31.03.2024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lastRenderedPageBreak/>
              <w:t xml:space="preserve">II. Комфортность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условий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предоставления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услуг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III. Доступность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услуг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для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инвалидов</w:t>
            </w:r>
          </w:p>
        </w:tc>
      </w:tr>
      <w:tr w:rsidR="00D013FB" w:rsidRPr="00C967A4" w:rsidTr="00F22124">
        <w:trPr>
          <w:trHeight w:val="3856"/>
        </w:trPr>
        <w:tc>
          <w:tcPr>
            <w:tcW w:w="4031" w:type="dxa"/>
            <w:tcBorders>
              <w:left w:val="nil"/>
            </w:tcBorders>
          </w:tcPr>
          <w:p w:rsidR="00D013FB" w:rsidRPr="00F22124" w:rsidRDefault="00CE59FE" w:rsidP="00CE59FE">
            <w:pPr>
              <w:spacing w:after="0" w:line="240" w:lineRule="auto"/>
              <w:ind w:right="7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  оборудование входных групп пандусами (подъемными платформами), наличие выделенных стоянок для автотранспортных средств инвалидов, наличие адаптированных лифтов,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организации.</w:t>
            </w:r>
            <w:proofErr w:type="gramEnd"/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gramStart"/>
            <w:r>
              <w:rPr>
                <w:rFonts w:ascii="PT Astra Serif" w:hAnsi="PT Astra Serif" w:cs="Calibri"/>
                <w:color w:val="00000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сурдопереводчика (тифлосурдопереводчика)</w:t>
            </w:r>
            <w:proofErr w:type="gramEnd"/>
          </w:p>
        </w:tc>
        <w:tc>
          <w:tcPr>
            <w:tcW w:w="3544" w:type="dxa"/>
          </w:tcPr>
          <w:p w:rsidR="00D013FB" w:rsidRPr="00F22124" w:rsidRDefault="00CE59FE" w:rsidP="00CE59FE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Составление смет  на устройство пандуса (поручня), стоянки для автотранспортных средств  инвалидов, на  обустройство  санитарно-гигиенического помещения. Заключение договора с  организацией, имеющей подъёмную платформу, о предоставлении подъёмной платформы для пользования при необходимости. Изучение прогнозной потребности в средствах передвижения для инвалидов (сменного кресла-коляски), изучение коммерческих предложений.  Заключение договора </w:t>
            </w:r>
            <w:proofErr w:type="gramStart"/>
            <w:r>
              <w:rPr>
                <w:rFonts w:ascii="PT Astra Serif" w:hAnsi="PT Astra Serif" w:cs="Calibri"/>
                <w:color w:val="000000"/>
              </w:rPr>
              <w:t>со сторонней   организацией о предоставлении в пользование сменного кресла-коляски при необходимости</w:t>
            </w:r>
            <w:proofErr w:type="gramEnd"/>
            <w:r>
              <w:rPr>
                <w:rFonts w:ascii="PT Astra Serif" w:hAnsi="PT Astra Serif" w:cs="Calibri"/>
                <w:color w:val="000000"/>
              </w:rPr>
              <w:t xml:space="preserve">.  Обеспечение дублирования для инвалидов по слуху и зрению звуковой и зрительной информации с помощью элементов навигации. Изучение прогнозной потребности  в элементах навигации, выполненных шрифтом Брайля. Заключение договора со специальной организацией (специалистом) о предоставлении  инвалидам по слуху (слуху и зрению) услуг сурдопереводчика (тифлосурдопереводчика). Приобретение индукционной системы для </w:t>
            </w:r>
            <w:proofErr w:type="gramStart"/>
            <w:r>
              <w:rPr>
                <w:rFonts w:ascii="PT Astra Serif" w:hAnsi="PT Astra Serif" w:cs="Calibri"/>
                <w:color w:val="000000"/>
              </w:rPr>
              <w:t>слабослышащих</w:t>
            </w:r>
            <w:proofErr w:type="gramEnd"/>
          </w:p>
        </w:tc>
        <w:tc>
          <w:tcPr>
            <w:tcW w:w="1701" w:type="dxa"/>
            <w:gridSpan w:val="2"/>
          </w:tcPr>
          <w:p w:rsidR="00D013FB" w:rsidRPr="00C967A4" w:rsidRDefault="001E1CA5" w:rsidP="00C8686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  <w:r w:rsidR="00C86861">
              <w:rPr>
                <w:rFonts w:ascii="PT Astra Serif" w:hAnsi="PT Astra Serif"/>
                <w:szCs w:val="22"/>
              </w:rPr>
              <w:t>1</w:t>
            </w:r>
            <w:r>
              <w:rPr>
                <w:rFonts w:ascii="PT Astra Serif" w:hAnsi="PT Astra Serif"/>
                <w:szCs w:val="22"/>
              </w:rPr>
              <w:t>.12.2024</w:t>
            </w:r>
          </w:p>
        </w:tc>
        <w:tc>
          <w:tcPr>
            <w:tcW w:w="1843" w:type="dxa"/>
          </w:tcPr>
          <w:p w:rsidR="004B01D3" w:rsidRPr="00100405" w:rsidRDefault="004B01D3" w:rsidP="00CE59FE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Истягина Людмила Владимировна директор</w:t>
            </w:r>
          </w:p>
          <w:p w:rsidR="001E1CA5" w:rsidRPr="00100405" w:rsidRDefault="00660869" w:rsidP="00CE59FE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4B01D3">
              <w:rPr>
                <w:rFonts w:ascii="PT Astra Serif" w:hAnsi="PT Astra Serif" w:cs="Calibri"/>
              </w:rPr>
              <w:t xml:space="preserve"> </w:t>
            </w:r>
          </w:p>
          <w:p w:rsidR="00D013FB" w:rsidRPr="00C967A4" w:rsidRDefault="00D013FB" w:rsidP="001E1CA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2D1253" w:rsidRDefault="002D1253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2D1253">
              <w:rPr>
                <w:rFonts w:ascii="PT Astra Serif" w:hAnsi="PT Astra Serif"/>
                <w:color w:val="000000"/>
                <w:szCs w:val="22"/>
              </w:rPr>
              <w:t xml:space="preserve">Составлены сметы  на обустройство стоянки для автотранспортных средств  инвалидов, на оборудование   специального санитарно-гигиенического помещения. Заключен договор с ДЮСШ, имеющей подъёмную платформу, о предоставлении подъёмной платформы для пользования при необходимости. Изучена прогнозная потребность организации в средствах передвижения для инвалидов (сменного кресла-коляски), Изучены коммерческие предложения.  Заключен договор с МОУ Стемасской СОШ  о предоставлении в пользование сменного кресла-коляски при необходимости.  </w:t>
            </w:r>
            <w:r w:rsidRPr="002D1253">
              <w:rPr>
                <w:rFonts w:ascii="PT Astra Serif" w:hAnsi="PT Astra Serif"/>
                <w:color w:val="000000"/>
                <w:szCs w:val="22"/>
              </w:rPr>
              <w:lastRenderedPageBreak/>
              <w:t xml:space="preserve">Обеспечено дублирование для инвалидов по слуху и зрению звуковой и зрительной информации с помощью элементов навигации. Изучена прогнозная потребность организации в элементах навигации, выполненных шрифтом Брайля, изучены коммерческие предложения. Заключен договор с РРЦ "Островок надежды" на базе ОГКОУ "Школа-интернат №87"   о предоставлении  инвалидам по слуху (слуху и зрению) услуг сурдопереводчика   при необходимости. Приобретена индукционная система для </w:t>
            </w:r>
            <w:proofErr w:type="gramStart"/>
            <w:r w:rsidRPr="002D1253">
              <w:rPr>
                <w:rFonts w:ascii="PT Astra Serif" w:hAnsi="PT Astra Serif"/>
                <w:color w:val="000000"/>
                <w:szCs w:val="22"/>
              </w:rPr>
              <w:t>слабослышащих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2D1253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17.12.2024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lastRenderedPageBreak/>
              <w:t xml:space="preserve">IV. Доброжелательность, вежливость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работников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организации </w:t>
            </w:r>
            <w:r w:rsidR="00602C94" w:rsidRPr="00C967A4">
              <w:rPr>
                <w:rFonts w:ascii="PT Astra Serif" w:hAnsi="PT Astra Serif"/>
                <w:b/>
                <w:szCs w:val="22"/>
              </w:rPr>
              <w:t xml:space="preserve"> 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 xml:space="preserve">Недостатков по данному критерию не </w:t>
            </w:r>
            <w:r w:rsidRPr="000E0D97">
              <w:rPr>
                <w:rFonts w:ascii="PT Astra Serif" w:hAnsi="PT Astra Serif" w:cs="Calibri"/>
              </w:rPr>
              <w:lastRenderedPageBreak/>
              <w:t>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lastRenderedPageBreak/>
              <w:t xml:space="preserve">V. Удовлетворенность условиями оказания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услуг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</w:tbl>
    <w:p w:rsidR="00770750" w:rsidRDefault="00770750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770750" w:rsidRDefault="00770750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E100C5" w:rsidRPr="004A1E23" w:rsidRDefault="00093977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93977" w:rsidRDefault="00093977" w:rsidP="00093977">
      <w:pPr>
        <w:tabs>
          <w:tab w:val="left" w:pos="615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tbl>
      <w:tblPr>
        <w:tblpPr w:leftFromText="180" w:rightFromText="180" w:vertAnchor="text" w:tblpX="74" w:tblpY="1"/>
        <w:tblOverlap w:val="never"/>
        <w:tblW w:w="9497" w:type="dxa"/>
        <w:tblLook w:val="04A0"/>
      </w:tblPr>
      <w:tblGrid>
        <w:gridCol w:w="4712"/>
        <w:gridCol w:w="1950"/>
        <w:gridCol w:w="2835"/>
      </w:tblGrid>
      <w:tr w:rsidR="00093977" w:rsidTr="00093977">
        <w:trPr>
          <w:trHeight w:val="993"/>
        </w:trPr>
        <w:tc>
          <w:tcPr>
            <w:tcW w:w="4712" w:type="dxa"/>
          </w:tcPr>
          <w:p w:rsidR="00093977" w:rsidRDefault="00093977" w:rsidP="0009397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93977" w:rsidRDefault="00093977" w:rsidP="0009397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образования                                              </w:t>
            </w:r>
          </w:p>
        </w:tc>
        <w:tc>
          <w:tcPr>
            <w:tcW w:w="1950" w:type="dxa"/>
            <w:hideMark/>
          </w:tcPr>
          <w:p w:rsidR="00093977" w:rsidRDefault="00093977" w:rsidP="000939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7380" cy="62738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93977" w:rsidRDefault="00093977" w:rsidP="0009397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93977" w:rsidRDefault="00093977" w:rsidP="0009397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Т.Н. Архипова   </w:t>
            </w:r>
            <w:r>
              <w:rPr>
                <w:rFonts w:ascii="PT Astra Serif" w:hAnsi="PT Astra Serif"/>
              </w:rPr>
              <w:t>    </w:t>
            </w:r>
          </w:p>
        </w:tc>
      </w:tr>
    </w:tbl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  <w:highlight w:val="yellow"/>
        </w:rPr>
      </w:pPr>
    </w:p>
    <w:p w:rsidR="00E100C5" w:rsidRPr="00E100C5" w:rsidRDefault="004A1E23" w:rsidP="00E100C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sectPr w:rsidR="00E100C5" w:rsidRPr="00E100C5" w:rsidSect="00D013F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FB"/>
    <w:rsid w:val="0002058D"/>
    <w:rsid w:val="00024F04"/>
    <w:rsid w:val="00081BE4"/>
    <w:rsid w:val="00093977"/>
    <w:rsid w:val="000B7760"/>
    <w:rsid w:val="000E0D97"/>
    <w:rsid w:val="00100405"/>
    <w:rsid w:val="001646B9"/>
    <w:rsid w:val="00171AA8"/>
    <w:rsid w:val="001E1CA5"/>
    <w:rsid w:val="00212954"/>
    <w:rsid w:val="002436FC"/>
    <w:rsid w:val="00263E57"/>
    <w:rsid w:val="0029635A"/>
    <w:rsid w:val="002A5ED6"/>
    <w:rsid w:val="002B3604"/>
    <w:rsid w:val="002D1253"/>
    <w:rsid w:val="00333D31"/>
    <w:rsid w:val="003E7BD6"/>
    <w:rsid w:val="00406DD1"/>
    <w:rsid w:val="00434E68"/>
    <w:rsid w:val="004924D2"/>
    <w:rsid w:val="004A1E23"/>
    <w:rsid w:val="004B01D3"/>
    <w:rsid w:val="004B2CD1"/>
    <w:rsid w:val="00582EF6"/>
    <w:rsid w:val="00602C94"/>
    <w:rsid w:val="00631311"/>
    <w:rsid w:val="00660869"/>
    <w:rsid w:val="00770750"/>
    <w:rsid w:val="007C424E"/>
    <w:rsid w:val="007F65A0"/>
    <w:rsid w:val="00861C5E"/>
    <w:rsid w:val="00977238"/>
    <w:rsid w:val="009C3A3A"/>
    <w:rsid w:val="00A3626B"/>
    <w:rsid w:val="00A43E3A"/>
    <w:rsid w:val="00B02C4C"/>
    <w:rsid w:val="00B351BE"/>
    <w:rsid w:val="00B4780D"/>
    <w:rsid w:val="00B56A0B"/>
    <w:rsid w:val="00C2432C"/>
    <w:rsid w:val="00C86861"/>
    <w:rsid w:val="00C967A4"/>
    <w:rsid w:val="00CE59FE"/>
    <w:rsid w:val="00CF0127"/>
    <w:rsid w:val="00D013FB"/>
    <w:rsid w:val="00D2296C"/>
    <w:rsid w:val="00D55072"/>
    <w:rsid w:val="00D812B7"/>
    <w:rsid w:val="00E100C5"/>
    <w:rsid w:val="00E13F5E"/>
    <w:rsid w:val="00E51588"/>
    <w:rsid w:val="00E5606E"/>
    <w:rsid w:val="00E6534E"/>
    <w:rsid w:val="00EA78C3"/>
    <w:rsid w:val="00EF4BC7"/>
    <w:rsid w:val="00EF7B55"/>
    <w:rsid w:val="00F22124"/>
    <w:rsid w:val="00F85B9D"/>
    <w:rsid w:val="00F97E9D"/>
    <w:rsid w:val="00FA13F8"/>
    <w:rsid w:val="00FC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82</cp:revision>
  <cp:lastPrinted>2024-02-29T04:55:00Z</cp:lastPrinted>
  <dcterms:created xsi:type="dcterms:W3CDTF">2024-02-28T11:00:00Z</dcterms:created>
  <dcterms:modified xsi:type="dcterms:W3CDTF">2024-12-17T12:47:00Z</dcterms:modified>
</cp:coreProperties>
</file>